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sz w:val="36"/>
          <w:szCs w:val="36"/>
          <w:highlight w:val="none"/>
        </w:rPr>
      </w:pPr>
    </w:p>
    <w:p>
      <w:pPr>
        <w:rPr>
          <w:color w:val="auto"/>
          <w:sz w:val="36"/>
          <w:szCs w:val="36"/>
          <w:highlight w:val="none"/>
        </w:rPr>
      </w:pPr>
    </w:p>
    <w:p>
      <w:pPr>
        <w:rPr>
          <w:color w:val="auto"/>
          <w:sz w:val="36"/>
          <w:szCs w:val="36"/>
          <w:highlight w:val="none"/>
        </w:rPr>
      </w:pPr>
    </w:p>
    <w:p>
      <w:pPr>
        <w:rPr>
          <w:color w:val="auto"/>
          <w:sz w:val="36"/>
          <w:szCs w:val="36"/>
          <w:highlight w:val="none"/>
        </w:rPr>
      </w:pPr>
    </w:p>
    <w:p>
      <w:pPr>
        <w:rPr>
          <w:color w:val="auto"/>
          <w:sz w:val="36"/>
          <w:szCs w:val="36"/>
          <w:highlight w:val="none"/>
        </w:rPr>
      </w:pPr>
    </w:p>
    <w:p>
      <w:pPr>
        <w:adjustRightInd w:val="0"/>
        <w:snapToGrid w:val="0"/>
        <w:jc w:val="center"/>
        <w:outlineLvl w:val="0"/>
        <w:rPr>
          <w:b/>
          <w:color w:val="auto"/>
          <w:sz w:val="72"/>
          <w:szCs w:val="72"/>
          <w:highlight w:val="none"/>
        </w:rPr>
      </w:pPr>
      <w:bookmarkStart w:id="0" w:name="_Toc23312"/>
      <w:bookmarkStart w:id="1" w:name="_Toc10925"/>
      <w:bookmarkStart w:id="2" w:name="_Toc21354"/>
      <w:bookmarkStart w:id="3" w:name="_Toc3601"/>
      <w:bookmarkStart w:id="4" w:name="_Toc23112"/>
      <w:bookmarkStart w:id="5" w:name="_Toc23445"/>
      <w:bookmarkStart w:id="6" w:name="_Toc4646"/>
      <w:bookmarkStart w:id="7" w:name="_Toc17755"/>
      <w:bookmarkStart w:id="8" w:name="_Toc24247"/>
      <w:bookmarkStart w:id="9" w:name="_Toc25444"/>
      <w:bookmarkStart w:id="10" w:name="_Toc22901"/>
      <w:bookmarkStart w:id="11" w:name="_Toc9354"/>
      <w:r>
        <w:rPr>
          <w:b/>
          <w:color w:val="auto"/>
          <w:sz w:val="72"/>
          <w:szCs w:val="72"/>
          <w:highlight w:val="none"/>
        </w:rPr>
        <w:t>建设项目环境影响报告表</w:t>
      </w:r>
      <w:bookmarkEnd w:id="0"/>
      <w:bookmarkEnd w:id="1"/>
      <w:bookmarkEnd w:id="2"/>
      <w:bookmarkEnd w:id="3"/>
      <w:bookmarkEnd w:id="4"/>
      <w:bookmarkEnd w:id="5"/>
      <w:bookmarkEnd w:id="6"/>
      <w:bookmarkEnd w:id="7"/>
      <w:bookmarkEnd w:id="8"/>
      <w:bookmarkEnd w:id="9"/>
      <w:bookmarkEnd w:id="10"/>
      <w:bookmarkEnd w:id="11"/>
    </w:p>
    <w:p>
      <w:pPr>
        <w:adjustRightInd w:val="0"/>
        <w:snapToGrid w:val="0"/>
        <w:spacing w:beforeLines="80"/>
        <w:jc w:val="center"/>
        <w:rPr>
          <w:b/>
          <w:color w:val="auto"/>
          <w:sz w:val="48"/>
          <w:szCs w:val="48"/>
          <w:highlight w:val="none"/>
        </w:rPr>
      </w:pPr>
      <w:r>
        <w:rPr>
          <w:b/>
          <w:color w:val="auto"/>
          <w:sz w:val="48"/>
          <w:szCs w:val="48"/>
          <w:highlight w:val="none"/>
        </w:rPr>
        <w:t>（污染影响类）</w:t>
      </w:r>
    </w:p>
    <w:p>
      <w:pPr>
        <w:rPr>
          <w:color w:val="auto"/>
          <w:highlight w:val="none"/>
        </w:rPr>
      </w:pPr>
    </w:p>
    <w:p>
      <w:pPr>
        <w:ind w:firstLine="1040"/>
        <w:rPr>
          <w:color w:val="auto"/>
          <w:sz w:val="44"/>
          <w:szCs w:val="44"/>
          <w:highlight w:val="none"/>
        </w:rPr>
      </w:pPr>
    </w:p>
    <w:p>
      <w:pPr>
        <w:pStyle w:val="27"/>
        <w:rPr>
          <w:color w:val="auto"/>
          <w:sz w:val="44"/>
          <w:szCs w:val="44"/>
          <w:highlight w:val="none"/>
        </w:rPr>
      </w:pPr>
    </w:p>
    <w:p>
      <w:pPr>
        <w:rPr>
          <w:color w:val="auto"/>
          <w:highlight w:val="none"/>
        </w:rPr>
      </w:pPr>
    </w:p>
    <w:p>
      <w:pPr>
        <w:ind w:firstLine="1040"/>
        <w:rPr>
          <w:color w:val="auto"/>
          <w:sz w:val="44"/>
          <w:szCs w:val="44"/>
          <w:highlight w:val="none"/>
        </w:rPr>
      </w:pPr>
    </w:p>
    <w:p>
      <w:pPr>
        <w:ind w:firstLine="1040"/>
        <w:rPr>
          <w:color w:val="auto"/>
          <w:sz w:val="44"/>
          <w:szCs w:val="44"/>
          <w:highlight w:val="none"/>
        </w:rPr>
      </w:pPr>
    </w:p>
    <w:p>
      <w:pPr>
        <w:ind w:firstLine="1040"/>
        <w:rPr>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spacing w:line="480" w:lineRule="auto"/>
        <w:textAlignment w:val="auto"/>
        <w:rPr>
          <w:rFonts w:hint="eastAsia" w:eastAsia="宋体"/>
          <w:b/>
          <w:bCs/>
          <w:color w:val="auto"/>
          <w:sz w:val="32"/>
          <w:szCs w:val="32"/>
          <w:highlight w:val="none"/>
          <w:u w:val="single"/>
          <w:lang w:eastAsia="zh-CN"/>
        </w:rPr>
      </w:pPr>
      <w:r>
        <w:rPr>
          <w:b/>
          <w:bCs/>
          <w:color w:val="auto"/>
          <w:sz w:val="32"/>
          <w:szCs w:val="32"/>
          <w:highlight w:val="none"/>
        </w:rPr>
        <w:t>项目名称：</w:t>
      </w:r>
      <w:r>
        <w:rPr>
          <w:rFonts w:hint="eastAsia"/>
          <w:b/>
          <w:bCs/>
          <w:color w:val="auto"/>
          <w:spacing w:val="-17"/>
          <w:sz w:val="32"/>
          <w:szCs w:val="32"/>
          <w:highlight w:val="none"/>
          <w:u w:val="single"/>
          <w:lang w:eastAsia="zh-CN"/>
        </w:rPr>
        <w:t>黑龙江省龙建路桥第二工程有限公司嘉荫分公司商品混凝土搅拌站建设项目</w:t>
      </w:r>
    </w:p>
    <w:p>
      <w:pPr>
        <w:keepNext w:val="0"/>
        <w:keepLines w:val="0"/>
        <w:pageBreakBefore w:val="0"/>
        <w:widowControl w:val="0"/>
        <w:kinsoku/>
        <w:wordWrap/>
        <w:overflowPunct/>
        <w:topLinePunct w:val="0"/>
        <w:autoSpaceDE/>
        <w:autoSpaceDN/>
        <w:bidi w:val="0"/>
        <w:adjustRightInd w:val="0"/>
        <w:snapToGrid/>
        <w:spacing w:line="480" w:lineRule="auto"/>
        <w:textAlignment w:val="auto"/>
        <w:rPr>
          <w:rFonts w:hint="eastAsia" w:eastAsia="宋体"/>
          <w:b/>
          <w:bCs/>
          <w:color w:val="auto"/>
          <w:sz w:val="32"/>
          <w:szCs w:val="32"/>
          <w:highlight w:val="none"/>
          <w:u w:val="single"/>
          <w:lang w:eastAsia="zh-CN"/>
        </w:rPr>
      </w:pPr>
      <w:r>
        <w:rPr>
          <w:b/>
          <w:bCs/>
          <w:color w:val="auto"/>
          <w:sz w:val="32"/>
          <w:szCs w:val="32"/>
          <w:highlight w:val="none"/>
        </w:rPr>
        <w:t>建设单位（盖章）：</w:t>
      </w:r>
      <w:r>
        <w:rPr>
          <w:rFonts w:hint="eastAsia"/>
          <w:b/>
          <w:bCs/>
          <w:color w:val="auto"/>
          <w:spacing w:val="-17"/>
          <w:sz w:val="32"/>
          <w:szCs w:val="32"/>
          <w:highlight w:val="none"/>
          <w:u w:val="single"/>
          <w:lang w:eastAsia="zh-CN"/>
        </w:rPr>
        <w:t>黑龙江省龙建路桥第二工程有限公司嘉荫分公司</w:t>
      </w:r>
    </w:p>
    <w:p>
      <w:pPr>
        <w:keepNext w:val="0"/>
        <w:keepLines w:val="0"/>
        <w:pageBreakBefore w:val="0"/>
        <w:widowControl w:val="0"/>
        <w:kinsoku/>
        <w:wordWrap/>
        <w:overflowPunct/>
        <w:topLinePunct w:val="0"/>
        <w:autoSpaceDE/>
        <w:autoSpaceDN/>
        <w:bidi w:val="0"/>
        <w:adjustRightInd w:val="0"/>
        <w:snapToGrid/>
        <w:spacing w:line="480" w:lineRule="auto"/>
        <w:textAlignment w:val="auto"/>
        <w:rPr>
          <w:color w:val="auto"/>
          <w:sz w:val="36"/>
          <w:szCs w:val="36"/>
          <w:highlight w:val="none"/>
          <w:u w:val="single"/>
        </w:rPr>
      </w:pPr>
      <w:r>
        <w:rPr>
          <w:b/>
          <w:bCs/>
          <w:color w:val="auto"/>
          <w:sz w:val="32"/>
          <w:szCs w:val="32"/>
          <w:highlight w:val="none"/>
        </w:rPr>
        <w:t>编制日期：</w:t>
      </w:r>
      <w:r>
        <w:rPr>
          <w:b/>
          <w:bCs/>
          <w:color w:val="auto"/>
          <w:sz w:val="32"/>
          <w:szCs w:val="32"/>
          <w:highlight w:val="none"/>
          <w:u w:val="single"/>
        </w:rPr>
        <w:t xml:space="preserve">              </w:t>
      </w:r>
      <w:r>
        <w:rPr>
          <w:rFonts w:hint="default" w:ascii="Times New Roman" w:hAnsi="Times New Roman" w:cs="Times New Roman"/>
          <w:b/>
          <w:bCs/>
          <w:color w:val="auto"/>
          <w:sz w:val="32"/>
          <w:szCs w:val="32"/>
          <w:highlight w:val="none"/>
          <w:u w:val="single"/>
        </w:rPr>
        <w:t>202</w:t>
      </w:r>
      <w:r>
        <w:rPr>
          <w:rFonts w:hint="default" w:ascii="Times New Roman" w:hAnsi="Times New Roman" w:cs="Times New Roman"/>
          <w:b/>
          <w:bCs/>
          <w:color w:val="auto"/>
          <w:sz w:val="32"/>
          <w:szCs w:val="32"/>
          <w:highlight w:val="none"/>
          <w:u w:val="single"/>
          <w:lang w:val="en-US" w:eastAsia="zh-CN"/>
        </w:rPr>
        <w:t>5</w:t>
      </w:r>
      <w:r>
        <w:rPr>
          <w:b/>
          <w:bCs/>
          <w:color w:val="auto"/>
          <w:sz w:val="32"/>
          <w:szCs w:val="32"/>
          <w:highlight w:val="none"/>
          <w:u w:val="single"/>
        </w:rPr>
        <w:t>年</w:t>
      </w:r>
      <w:r>
        <w:rPr>
          <w:rFonts w:hint="eastAsia" w:cs="Times New Roman"/>
          <w:b/>
          <w:bCs/>
          <w:color w:val="auto"/>
          <w:sz w:val="32"/>
          <w:szCs w:val="32"/>
          <w:highlight w:val="none"/>
          <w:u w:val="single"/>
          <w:lang w:val="en-US" w:eastAsia="zh-CN"/>
        </w:rPr>
        <w:t>10</w:t>
      </w:r>
      <w:r>
        <w:rPr>
          <w:b/>
          <w:bCs/>
          <w:color w:val="auto"/>
          <w:sz w:val="32"/>
          <w:szCs w:val="32"/>
          <w:highlight w:val="none"/>
          <w:u w:val="single"/>
        </w:rPr>
        <w:t xml:space="preserve">月            </w:t>
      </w:r>
      <w:bookmarkStart w:id="12" w:name="_Hlk57884087"/>
    </w:p>
    <w:p>
      <w:pPr>
        <w:adjustRightInd w:val="0"/>
        <w:snapToGrid w:val="0"/>
        <w:spacing w:line="288" w:lineRule="auto"/>
        <w:ind w:firstLine="1040"/>
        <w:rPr>
          <w:color w:val="auto"/>
          <w:sz w:val="36"/>
          <w:szCs w:val="36"/>
          <w:highlight w:val="none"/>
        </w:rPr>
      </w:pPr>
    </w:p>
    <w:p>
      <w:pPr>
        <w:pStyle w:val="27"/>
        <w:rPr>
          <w:color w:val="auto"/>
          <w:sz w:val="36"/>
          <w:szCs w:val="36"/>
          <w:highlight w:val="none"/>
        </w:rPr>
      </w:pPr>
    </w:p>
    <w:p>
      <w:pPr>
        <w:rPr>
          <w:color w:val="auto"/>
          <w:highlight w:val="none"/>
        </w:rPr>
      </w:pPr>
    </w:p>
    <w:p>
      <w:pPr>
        <w:adjustRightInd w:val="0"/>
        <w:snapToGrid w:val="0"/>
        <w:spacing w:line="288" w:lineRule="auto"/>
        <w:rPr>
          <w:color w:val="auto"/>
          <w:sz w:val="36"/>
          <w:szCs w:val="36"/>
          <w:highlight w:val="none"/>
        </w:rPr>
      </w:pPr>
    </w:p>
    <w:p>
      <w:pPr>
        <w:adjustRightInd w:val="0"/>
        <w:snapToGrid w:val="0"/>
        <w:spacing w:line="288" w:lineRule="auto"/>
        <w:rPr>
          <w:color w:val="auto"/>
          <w:sz w:val="36"/>
          <w:szCs w:val="36"/>
          <w:highlight w:val="none"/>
        </w:rPr>
      </w:pPr>
    </w:p>
    <w:bookmarkEnd w:id="12"/>
    <w:p>
      <w:pPr>
        <w:adjustRightInd w:val="0"/>
        <w:snapToGrid w:val="0"/>
        <w:spacing w:line="288" w:lineRule="auto"/>
        <w:jc w:val="center"/>
        <w:rPr>
          <w:rFonts w:hint="eastAsia" w:eastAsia="宋体"/>
          <w:color w:val="auto"/>
          <w:highlight w:val="none"/>
          <w:lang w:eastAsia="zh-CN"/>
        </w:rPr>
      </w:pPr>
      <w:r>
        <w:rPr>
          <w:b/>
          <w:bCs/>
          <w:color w:val="auto"/>
          <w:sz w:val="36"/>
          <w:szCs w:val="36"/>
          <w:highlight w:val="none"/>
        </w:rPr>
        <w:t>中华人民共和国生态环境部制</w:t>
      </w:r>
    </w:p>
    <w:p>
      <w:pPr>
        <w:pStyle w:val="27"/>
        <w:ind w:left="0" w:leftChars="0"/>
        <w:jc w:val="both"/>
        <w:rPr>
          <w:rFonts w:hint="eastAsia" w:eastAsia="宋体"/>
          <w:color w:val="auto"/>
          <w:highlight w:val="none"/>
          <w:lang w:eastAsia="zh-CN"/>
        </w:rPr>
      </w:pPr>
    </w:p>
    <w:sdt>
      <w:sdtPr>
        <w:rPr>
          <w:rFonts w:ascii="宋体" w:hAnsi="宋体" w:eastAsia="宋体" w:cs="Times New Roman"/>
          <w:b/>
          <w:bCs/>
          <w:color w:val="auto"/>
          <w:kern w:val="2"/>
          <w:sz w:val="28"/>
          <w:szCs w:val="28"/>
          <w:highlight w:val="none"/>
          <w:lang w:val="en-US" w:eastAsia="zh-CN" w:bidi="ar-SA"/>
        </w:rPr>
        <w:id w:val="147480546"/>
        <w15:color w:val="DBDBDB"/>
        <w:docPartObj>
          <w:docPartGallery w:val="Table of Contents"/>
          <w:docPartUnique/>
        </w:docPartObj>
      </w:sdtPr>
      <w:sdtEndPr>
        <w:rPr>
          <w:rFonts w:hint="eastAsia" w:ascii="宋体" w:hAnsi="宋体" w:eastAsia="宋体" w:cs="宋体"/>
          <w:b/>
          <w:bCs/>
          <w:color w:val="auto"/>
          <w:kern w:val="2"/>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b/>
              <w:bCs/>
              <w:color w:val="auto"/>
              <w:sz w:val="36"/>
              <w:szCs w:val="36"/>
              <w:highlight w:val="none"/>
            </w:rPr>
          </w:pPr>
        </w:p>
        <w:p>
          <w:pPr>
            <w:spacing w:before="0" w:beforeLines="0" w:after="0" w:afterLines="0" w:line="240" w:lineRule="auto"/>
            <w:ind w:left="0" w:leftChars="0" w:right="0" w:rightChars="0" w:firstLine="0" w:firstLineChars="0"/>
            <w:jc w:val="center"/>
            <w:rPr>
              <w:rFonts w:ascii="宋体" w:hAnsi="宋体" w:eastAsia="宋体"/>
              <w:b/>
              <w:bCs/>
              <w:color w:val="auto"/>
              <w:sz w:val="36"/>
              <w:szCs w:val="36"/>
              <w:highlight w:val="none"/>
            </w:rPr>
          </w:pPr>
        </w:p>
        <w:p>
          <w:pPr>
            <w:spacing w:before="0" w:beforeLines="0" w:after="0" w:afterLines="0" w:line="240" w:lineRule="auto"/>
            <w:ind w:left="0" w:leftChars="0" w:right="0" w:rightChars="0" w:firstLine="0" w:firstLineChars="0"/>
            <w:jc w:val="center"/>
            <w:rPr>
              <w:rFonts w:ascii="宋体" w:hAnsi="宋体" w:eastAsia="宋体"/>
              <w:b/>
              <w:bCs/>
              <w:color w:val="auto"/>
              <w:sz w:val="36"/>
              <w:szCs w:val="36"/>
              <w:highlight w:val="none"/>
            </w:rPr>
          </w:pPr>
        </w:p>
        <w:p>
          <w:pPr>
            <w:pStyle w:val="53"/>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kern w:val="2"/>
              <w:sz w:val="32"/>
              <w:szCs w:val="36"/>
              <w:highlight w:val="none"/>
              <w:lang w:val="en-US" w:eastAsia="zh-CN" w:bidi="ar-SA"/>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lang w:val="en-US" w:eastAsia="zh-CN"/>
            </w:rPr>
            <w:t xml:space="preserve">  </w:t>
          </w:r>
          <w:r>
            <w:rPr>
              <w:rFonts w:ascii="宋体" w:hAnsi="宋体" w:eastAsia="宋体"/>
              <w:b/>
              <w:bCs/>
              <w:color w:val="auto"/>
              <w:sz w:val="36"/>
              <w:szCs w:val="36"/>
              <w:highlight w:val="none"/>
            </w:rPr>
            <w:t>录</w:t>
          </w:r>
          <w:r>
            <w:rPr>
              <w:rFonts w:hint="default" w:ascii="Times New Roman" w:hAnsi="Times New Roman" w:eastAsia="宋体" w:cs="Times New Roman"/>
              <w:color w:val="auto"/>
              <w:sz w:val="36"/>
              <w:szCs w:val="36"/>
              <w:highlight w:val="none"/>
              <w:lang w:eastAsia="zh-CN"/>
            </w:rPr>
            <w:fldChar w:fldCharType="begin"/>
          </w:r>
          <w:r>
            <w:rPr>
              <w:rFonts w:hint="default" w:ascii="Times New Roman" w:hAnsi="Times New Roman" w:eastAsia="宋体" w:cs="Times New Roman"/>
              <w:color w:val="auto"/>
              <w:sz w:val="36"/>
              <w:szCs w:val="36"/>
              <w:highlight w:val="none"/>
              <w:lang w:eastAsia="zh-CN"/>
            </w:rPr>
            <w:instrText xml:space="preserve">TOC \o "1-1" \h \u </w:instrText>
          </w:r>
          <w:r>
            <w:rPr>
              <w:rFonts w:hint="default" w:ascii="Times New Roman" w:hAnsi="Times New Roman" w:eastAsia="宋体" w:cs="Times New Roman"/>
              <w:color w:val="auto"/>
              <w:sz w:val="36"/>
              <w:szCs w:val="36"/>
              <w:highlight w:val="none"/>
              <w:lang w:eastAsia="zh-CN"/>
            </w:rPr>
            <w:fldChar w:fldCharType="separate"/>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_Toc21354 </w:instrText>
          </w:r>
          <w:r>
            <w:rPr>
              <w:rFonts w:hint="eastAsia" w:ascii="宋体" w:hAnsi="宋体" w:eastAsia="宋体" w:cs="宋体"/>
              <w:szCs w:val="36"/>
              <w:highlight w:val="none"/>
              <w:lang w:eastAsia="zh-CN"/>
            </w:rPr>
            <w:fldChar w:fldCharType="separate"/>
          </w:r>
          <w:r>
            <w:rPr>
              <w:rFonts w:hint="eastAsia" w:ascii="宋体" w:hAnsi="宋体" w:eastAsia="宋体" w:cs="宋体"/>
              <w:szCs w:val="72"/>
              <w:highlight w:val="none"/>
            </w:rPr>
            <w:t>建设项目环境影响报告表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_Toc21354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_Toc31731 </w:instrText>
          </w:r>
          <w:r>
            <w:rPr>
              <w:rFonts w:hint="eastAsia" w:ascii="宋体" w:hAnsi="宋体" w:eastAsia="宋体" w:cs="宋体"/>
              <w:szCs w:val="36"/>
              <w:highlight w:val="none"/>
              <w:lang w:eastAsia="zh-CN"/>
            </w:rPr>
            <w:fldChar w:fldCharType="separate"/>
          </w:r>
          <w:r>
            <w:rPr>
              <w:rFonts w:hint="eastAsia" w:ascii="宋体" w:hAnsi="宋体" w:eastAsia="宋体" w:cs="宋体"/>
              <w:bCs/>
              <w:snapToGrid w:val="0"/>
              <w:szCs w:val="30"/>
              <w:highlight w:val="none"/>
            </w:rPr>
            <w:t>一、建设项目基本情况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_Toc31731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_Toc767 </w:instrText>
          </w:r>
          <w:r>
            <w:rPr>
              <w:rFonts w:hint="eastAsia" w:ascii="宋体" w:hAnsi="宋体" w:eastAsia="宋体" w:cs="宋体"/>
              <w:szCs w:val="36"/>
              <w:highlight w:val="none"/>
              <w:lang w:eastAsia="zh-CN"/>
            </w:rPr>
            <w:fldChar w:fldCharType="separate"/>
          </w:r>
          <w:r>
            <w:rPr>
              <w:rFonts w:hint="eastAsia" w:ascii="宋体" w:hAnsi="宋体" w:eastAsia="宋体" w:cs="宋体"/>
              <w:bCs/>
              <w:snapToGrid w:val="0"/>
              <w:szCs w:val="30"/>
              <w:highlight w:val="none"/>
            </w:rPr>
            <w:t>二、建设项目工程分析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_Toc767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_Toc27793 </w:instrText>
          </w:r>
          <w:r>
            <w:rPr>
              <w:rFonts w:hint="eastAsia" w:ascii="宋体" w:hAnsi="宋体" w:eastAsia="宋体" w:cs="宋体"/>
              <w:szCs w:val="36"/>
              <w:highlight w:val="none"/>
              <w:lang w:eastAsia="zh-CN"/>
            </w:rPr>
            <w:fldChar w:fldCharType="separate"/>
          </w:r>
          <w:r>
            <w:rPr>
              <w:rFonts w:hint="eastAsia" w:ascii="宋体" w:hAnsi="宋体" w:eastAsia="宋体" w:cs="宋体"/>
              <w:bCs/>
              <w:snapToGrid w:val="0"/>
              <w:szCs w:val="30"/>
              <w:highlight w:val="none"/>
            </w:rPr>
            <w:t>三、区域环境质量现状、环境保护目标及评价标准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_Toc27793 \h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_Toc29096 </w:instrText>
          </w:r>
          <w:r>
            <w:rPr>
              <w:rFonts w:hint="eastAsia" w:ascii="宋体" w:hAnsi="宋体" w:eastAsia="宋体" w:cs="宋体"/>
              <w:szCs w:val="36"/>
              <w:highlight w:val="none"/>
              <w:lang w:eastAsia="zh-CN"/>
            </w:rPr>
            <w:fldChar w:fldCharType="separate"/>
          </w:r>
          <w:r>
            <w:rPr>
              <w:rFonts w:hint="eastAsia" w:ascii="宋体" w:hAnsi="宋体" w:eastAsia="宋体" w:cs="宋体"/>
              <w:bCs/>
              <w:snapToGrid w:val="0"/>
              <w:szCs w:val="30"/>
              <w:highlight w:val="none"/>
            </w:rPr>
            <w:t>四、主要环境影响和保护措施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_Toc29096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_Toc9007 </w:instrText>
          </w:r>
          <w:r>
            <w:rPr>
              <w:rFonts w:hint="eastAsia" w:ascii="宋体" w:hAnsi="宋体" w:eastAsia="宋体" w:cs="宋体"/>
              <w:szCs w:val="36"/>
              <w:highlight w:val="none"/>
              <w:lang w:eastAsia="zh-CN"/>
            </w:rPr>
            <w:fldChar w:fldCharType="separate"/>
          </w:r>
          <w:r>
            <w:rPr>
              <w:rFonts w:hint="eastAsia" w:ascii="宋体" w:hAnsi="宋体" w:eastAsia="宋体" w:cs="宋体"/>
              <w:bCs/>
              <w:snapToGrid w:val="0"/>
              <w:szCs w:val="30"/>
              <w:highlight w:val="none"/>
            </w:rPr>
            <w:t>五、环境保护措施监督检查清单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_Toc9007 \h </w:instrText>
          </w:r>
          <w:r>
            <w:rPr>
              <w:rFonts w:hint="eastAsia" w:ascii="宋体" w:hAnsi="宋体" w:eastAsia="宋体" w:cs="宋体"/>
            </w:rPr>
            <w:fldChar w:fldCharType="separate"/>
          </w:r>
          <w:r>
            <w:rPr>
              <w:rFonts w:hint="eastAsia" w:ascii="宋体" w:hAnsi="宋体" w:eastAsia="宋体" w:cs="宋体"/>
            </w:rPr>
            <w:t>43</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_Toc31140 </w:instrText>
          </w:r>
          <w:r>
            <w:rPr>
              <w:rFonts w:hint="eastAsia" w:ascii="宋体" w:hAnsi="宋体" w:eastAsia="宋体" w:cs="宋体"/>
              <w:szCs w:val="36"/>
              <w:highlight w:val="none"/>
              <w:lang w:eastAsia="zh-CN"/>
            </w:rPr>
            <w:fldChar w:fldCharType="separate"/>
          </w:r>
          <w:r>
            <w:rPr>
              <w:rFonts w:hint="eastAsia" w:ascii="宋体" w:hAnsi="宋体" w:eastAsia="宋体" w:cs="宋体"/>
              <w:bCs/>
              <w:snapToGrid w:val="0"/>
              <w:szCs w:val="30"/>
              <w:highlight w:val="none"/>
            </w:rPr>
            <w:t>六、结论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_Toc31140 \h </w:instrText>
          </w:r>
          <w:r>
            <w:rPr>
              <w:rFonts w:hint="eastAsia" w:ascii="宋体" w:hAnsi="宋体" w:eastAsia="宋体" w:cs="宋体"/>
            </w:rPr>
            <w:fldChar w:fldCharType="separate"/>
          </w:r>
          <w:r>
            <w:rPr>
              <w:rFonts w:hint="eastAsia" w:ascii="宋体" w:hAnsi="宋体" w:eastAsia="宋体" w:cs="宋体"/>
            </w:rPr>
            <w:t>48</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_Toc27862 </w:instrText>
          </w:r>
          <w:r>
            <w:rPr>
              <w:rFonts w:hint="eastAsia" w:ascii="宋体" w:hAnsi="宋体" w:eastAsia="宋体" w:cs="宋体"/>
              <w:szCs w:val="36"/>
              <w:highlight w:val="none"/>
              <w:lang w:eastAsia="zh-CN"/>
            </w:rPr>
            <w:fldChar w:fldCharType="separate"/>
          </w:r>
          <w:r>
            <w:rPr>
              <w:rFonts w:hint="eastAsia" w:ascii="宋体" w:hAnsi="宋体" w:eastAsia="宋体" w:cs="宋体"/>
              <w:bCs/>
              <w:snapToGrid w:val="0"/>
              <w:szCs w:val="32"/>
              <w:highlight w:val="none"/>
            </w:rPr>
            <w:t>附表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_Toc27862 \h </w:instrText>
          </w:r>
          <w:r>
            <w:rPr>
              <w:rFonts w:hint="eastAsia" w:ascii="宋体" w:hAnsi="宋体" w:eastAsia="宋体" w:cs="宋体"/>
            </w:rPr>
            <w:fldChar w:fldCharType="separate"/>
          </w:r>
          <w:r>
            <w:rPr>
              <w:rFonts w:hint="eastAsia" w:ascii="宋体" w:hAnsi="宋体" w:eastAsia="宋体" w:cs="宋体"/>
            </w:rPr>
            <w:t>49</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_Toc18555 </w:instrText>
          </w:r>
          <w:r>
            <w:rPr>
              <w:rFonts w:hint="eastAsia" w:ascii="宋体" w:hAnsi="宋体" w:eastAsia="宋体" w:cs="宋体"/>
              <w:szCs w:val="36"/>
              <w:highlight w:val="none"/>
              <w:lang w:eastAsia="zh-CN"/>
            </w:rPr>
            <w:fldChar w:fldCharType="separate"/>
          </w:r>
          <w:r>
            <w:rPr>
              <w:rFonts w:hint="eastAsia" w:ascii="宋体" w:hAnsi="宋体" w:eastAsia="宋体" w:cs="宋体"/>
              <w:bCs/>
              <w:snapToGrid w:val="0"/>
              <w:szCs w:val="38"/>
              <w:highlight w:val="none"/>
            </w:rPr>
            <w:t>建设项目污染物排放量汇总表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_Toc18555 \h </w:instrText>
          </w:r>
          <w:r>
            <w:rPr>
              <w:rFonts w:hint="eastAsia" w:ascii="宋体" w:hAnsi="宋体" w:eastAsia="宋体" w:cs="宋体"/>
            </w:rPr>
            <w:fldChar w:fldCharType="separate"/>
          </w:r>
          <w:r>
            <w:rPr>
              <w:rFonts w:hint="eastAsia" w:ascii="宋体" w:hAnsi="宋体" w:eastAsia="宋体" w:cs="宋体"/>
            </w:rPr>
            <w:t>49</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_Toc2825 </w:instrText>
          </w:r>
          <w:r>
            <w:rPr>
              <w:rFonts w:hint="eastAsia" w:ascii="宋体" w:hAnsi="宋体" w:eastAsia="宋体" w:cs="宋体"/>
              <w:szCs w:val="36"/>
              <w:highlight w:val="none"/>
              <w:lang w:eastAsia="zh-CN"/>
            </w:rPr>
            <w:fldChar w:fldCharType="separate"/>
          </w:r>
          <w:r>
            <w:rPr>
              <w:rFonts w:hint="eastAsia" w:ascii="宋体" w:hAnsi="宋体" w:eastAsia="宋体" w:cs="宋体"/>
              <w:snapToGrid w:val="0"/>
              <w:szCs w:val="28"/>
              <w:highlight w:val="none"/>
            </w:rPr>
            <w:t>附图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_Toc2825 \h </w:instrText>
          </w:r>
          <w:r>
            <w:rPr>
              <w:rFonts w:hint="eastAsia" w:ascii="宋体" w:hAnsi="宋体" w:eastAsia="宋体" w:cs="宋体"/>
            </w:rPr>
            <w:fldChar w:fldCharType="separate"/>
          </w:r>
          <w:r>
            <w:rPr>
              <w:rFonts w:hint="eastAsia" w:ascii="宋体" w:hAnsi="宋体" w:eastAsia="宋体" w:cs="宋体"/>
            </w:rPr>
            <w:t>50</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_Toc9048 </w:instrText>
          </w:r>
          <w:r>
            <w:rPr>
              <w:rFonts w:hint="eastAsia" w:ascii="宋体" w:hAnsi="宋体" w:eastAsia="宋体" w:cs="宋体"/>
              <w:szCs w:val="36"/>
              <w:highlight w:val="none"/>
              <w:lang w:eastAsia="zh-CN"/>
            </w:rPr>
            <w:fldChar w:fldCharType="separate"/>
          </w:r>
          <w:r>
            <w:rPr>
              <w:rFonts w:hint="eastAsia" w:ascii="宋体" w:hAnsi="宋体" w:eastAsia="宋体" w:cs="宋体"/>
              <w:szCs w:val="28"/>
              <w:highlight w:val="none"/>
            </w:rPr>
            <w:t>附图1：地理位置图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_Toc9048 \h </w:instrText>
          </w:r>
          <w:r>
            <w:rPr>
              <w:rFonts w:hint="eastAsia" w:ascii="宋体" w:hAnsi="宋体" w:eastAsia="宋体" w:cs="宋体"/>
            </w:rPr>
            <w:fldChar w:fldCharType="separate"/>
          </w:r>
          <w:r>
            <w:rPr>
              <w:rFonts w:hint="eastAsia" w:ascii="宋体" w:hAnsi="宋体" w:eastAsia="宋体" w:cs="宋体"/>
            </w:rPr>
            <w:t>50</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_Toc22837 </w:instrText>
          </w:r>
          <w:r>
            <w:rPr>
              <w:rFonts w:hint="eastAsia" w:ascii="宋体" w:hAnsi="宋体" w:eastAsia="宋体" w:cs="宋体"/>
              <w:szCs w:val="36"/>
              <w:highlight w:val="none"/>
              <w:lang w:eastAsia="zh-CN"/>
            </w:rPr>
            <w:fldChar w:fldCharType="separate"/>
          </w:r>
          <w:r>
            <w:rPr>
              <w:rFonts w:hint="eastAsia" w:ascii="宋体" w:hAnsi="宋体" w:eastAsia="宋体" w:cs="宋体"/>
              <w:szCs w:val="28"/>
              <w:highlight w:val="none"/>
            </w:rPr>
            <w:t>附图</w:t>
          </w:r>
          <w:r>
            <w:rPr>
              <w:rFonts w:hint="eastAsia" w:ascii="宋体" w:hAnsi="宋体" w:eastAsia="宋体" w:cs="宋体"/>
              <w:szCs w:val="28"/>
              <w:highlight w:val="none"/>
              <w:lang w:val="en-US" w:eastAsia="zh-CN"/>
            </w:rPr>
            <w:t>2</w:t>
          </w:r>
          <w:r>
            <w:rPr>
              <w:rFonts w:hint="eastAsia" w:ascii="宋体" w:hAnsi="宋体" w:eastAsia="宋体" w:cs="宋体"/>
              <w:szCs w:val="28"/>
              <w:highlight w:val="none"/>
            </w:rPr>
            <w:t>：</w:t>
          </w:r>
          <w:r>
            <w:rPr>
              <w:rFonts w:hint="eastAsia" w:ascii="宋体" w:hAnsi="宋体" w:eastAsia="宋体" w:cs="宋体"/>
              <w:szCs w:val="28"/>
              <w:highlight w:val="none"/>
              <w:lang w:val="en-US" w:eastAsia="zh-CN"/>
            </w:rPr>
            <w:t>项目周边照片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_Toc22837 \h </w:instrText>
          </w:r>
          <w:r>
            <w:rPr>
              <w:rFonts w:hint="eastAsia" w:ascii="宋体" w:hAnsi="宋体" w:eastAsia="宋体" w:cs="宋体"/>
            </w:rPr>
            <w:fldChar w:fldCharType="separate"/>
          </w:r>
          <w:r>
            <w:rPr>
              <w:rFonts w:hint="eastAsia" w:ascii="宋体" w:hAnsi="宋体" w:eastAsia="宋体" w:cs="宋体"/>
            </w:rPr>
            <w:t>51</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_Toc7988 </w:instrText>
          </w:r>
          <w:r>
            <w:rPr>
              <w:rFonts w:hint="eastAsia" w:ascii="宋体" w:hAnsi="宋体" w:eastAsia="宋体" w:cs="宋体"/>
              <w:szCs w:val="36"/>
              <w:highlight w:val="none"/>
              <w:lang w:eastAsia="zh-CN"/>
            </w:rPr>
            <w:fldChar w:fldCharType="separate"/>
          </w:r>
          <w:r>
            <w:rPr>
              <w:rFonts w:hint="eastAsia" w:ascii="宋体" w:hAnsi="宋体" w:eastAsia="宋体" w:cs="宋体"/>
              <w:szCs w:val="28"/>
              <w:highlight w:val="none"/>
            </w:rPr>
            <w:t>附图</w:t>
          </w:r>
          <w:r>
            <w:rPr>
              <w:rFonts w:hint="eastAsia" w:ascii="宋体" w:hAnsi="宋体" w:eastAsia="宋体" w:cs="宋体"/>
              <w:szCs w:val="28"/>
              <w:highlight w:val="none"/>
              <w:lang w:val="en-US" w:eastAsia="zh-CN"/>
            </w:rPr>
            <w:t>3</w:t>
          </w:r>
          <w:r>
            <w:rPr>
              <w:rFonts w:hint="eastAsia" w:ascii="宋体" w:hAnsi="宋体" w:eastAsia="宋体" w:cs="宋体"/>
              <w:szCs w:val="28"/>
              <w:highlight w:val="none"/>
            </w:rPr>
            <w:t>：平面布置图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_Toc7988 \h </w:instrText>
          </w:r>
          <w:r>
            <w:rPr>
              <w:rFonts w:hint="eastAsia" w:ascii="宋体" w:hAnsi="宋体" w:eastAsia="宋体" w:cs="宋体"/>
            </w:rPr>
            <w:fldChar w:fldCharType="separate"/>
          </w:r>
          <w:r>
            <w:rPr>
              <w:rFonts w:hint="eastAsia" w:ascii="宋体" w:hAnsi="宋体" w:eastAsia="宋体" w:cs="宋体"/>
            </w:rPr>
            <w:t>52</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_Toc10914 </w:instrText>
          </w:r>
          <w:r>
            <w:rPr>
              <w:rFonts w:hint="eastAsia" w:ascii="宋体" w:hAnsi="宋体" w:eastAsia="宋体" w:cs="宋体"/>
              <w:szCs w:val="36"/>
              <w:highlight w:val="none"/>
              <w:lang w:eastAsia="zh-CN"/>
            </w:rPr>
            <w:fldChar w:fldCharType="separate"/>
          </w:r>
          <w:r>
            <w:rPr>
              <w:rFonts w:hint="eastAsia" w:ascii="宋体" w:hAnsi="宋体" w:eastAsia="宋体" w:cs="宋体"/>
              <w:szCs w:val="28"/>
              <w:highlight w:val="none"/>
              <w:lang w:eastAsia="zh-CN"/>
            </w:rPr>
            <w:t>附图</w:t>
          </w:r>
          <w:r>
            <w:rPr>
              <w:rFonts w:hint="eastAsia" w:ascii="宋体" w:hAnsi="宋体" w:eastAsia="宋体" w:cs="宋体"/>
              <w:szCs w:val="28"/>
              <w:highlight w:val="none"/>
              <w:lang w:val="en-US" w:eastAsia="zh-CN"/>
            </w:rPr>
            <w:t>4：项目评价范围图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_Toc10914 \h </w:instrText>
          </w:r>
          <w:r>
            <w:rPr>
              <w:rFonts w:hint="eastAsia" w:ascii="宋体" w:hAnsi="宋体" w:eastAsia="宋体" w:cs="宋体"/>
            </w:rPr>
            <w:fldChar w:fldCharType="separate"/>
          </w:r>
          <w:r>
            <w:rPr>
              <w:rFonts w:hint="eastAsia" w:ascii="宋体" w:hAnsi="宋体" w:eastAsia="宋体" w:cs="宋体"/>
            </w:rPr>
            <w:t>53</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_Toc29578 </w:instrText>
          </w:r>
          <w:r>
            <w:rPr>
              <w:rFonts w:hint="eastAsia" w:ascii="宋体" w:hAnsi="宋体" w:eastAsia="宋体" w:cs="宋体"/>
              <w:szCs w:val="36"/>
              <w:highlight w:val="none"/>
              <w:lang w:eastAsia="zh-CN"/>
            </w:rPr>
            <w:fldChar w:fldCharType="separate"/>
          </w:r>
          <w:r>
            <w:rPr>
              <w:rFonts w:hint="eastAsia" w:ascii="宋体" w:hAnsi="宋体" w:eastAsia="宋体" w:cs="宋体"/>
              <w:snapToGrid w:val="0"/>
              <w:highlight w:val="none"/>
            </w:rPr>
            <w:t>附件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_Toc29578 \h </w:instrText>
          </w:r>
          <w:r>
            <w:rPr>
              <w:rFonts w:hint="eastAsia" w:ascii="宋体" w:hAnsi="宋体" w:eastAsia="宋体" w:cs="宋体"/>
            </w:rPr>
            <w:fldChar w:fldCharType="separate"/>
          </w:r>
          <w:r>
            <w:rPr>
              <w:rFonts w:hint="eastAsia" w:ascii="宋体" w:hAnsi="宋体" w:eastAsia="宋体" w:cs="宋体"/>
            </w:rPr>
            <w:t>54</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_Toc3309 </w:instrText>
          </w:r>
          <w:r>
            <w:rPr>
              <w:rFonts w:hint="eastAsia" w:ascii="宋体" w:hAnsi="宋体" w:eastAsia="宋体" w:cs="宋体"/>
              <w:szCs w:val="36"/>
              <w:highlight w:val="none"/>
              <w:lang w:eastAsia="zh-CN"/>
            </w:rPr>
            <w:fldChar w:fldCharType="separate"/>
          </w:r>
          <w:r>
            <w:rPr>
              <w:rFonts w:hint="eastAsia" w:ascii="宋体" w:hAnsi="宋体" w:eastAsia="宋体" w:cs="宋体"/>
              <w:szCs w:val="28"/>
              <w:highlight w:val="none"/>
            </w:rPr>
            <w:t>附件1：营业执照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_Toc3309 \h </w:instrText>
          </w:r>
          <w:r>
            <w:rPr>
              <w:rFonts w:hint="eastAsia" w:ascii="宋体" w:hAnsi="宋体" w:eastAsia="宋体" w:cs="宋体"/>
            </w:rPr>
            <w:fldChar w:fldCharType="separate"/>
          </w:r>
          <w:r>
            <w:rPr>
              <w:rFonts w:hint="eastAsia" w:ascii="宋体" w:hAnsi="宋体" w:eastAsia="宋体" w:cs="宋体"/>
            </w:rPr>
            <w:t>54</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_Toc866 </w:instrText>
          </w:r>
          <w:r>
            <w:rPr>
              <w:rFonts w:hint="eastAsia" w:ascii="宋体" w:hAnsi="宋体" w:eastAsia="宋体" w:cs="宋体"/>
              <w:szCs w:val="36"/>
              <w:highlight w:val="none"/>
              <w:lang w:eastAsia="zh-CN"/>
            </w:rPr>
            <w:fldChar w:fldCharType="separate"/>
          </w:r>
          <w:r>
            <w:rPr>
              <w:rFonts w:hint="eastAsia" w:ascii="宋体" w:hAnsi="宋体" w:eastAsia="宋体" w:cs="宋体"/>
              <w:szCs w:val="28"/>
              <w:highlight w:val="none"/>
            </w:rPr>
            <w:t>附件</w:t>
          </w:r>
          <w:r>
            <w:rPr>
              <w:rFonts w:hint="eastAsia" w:ascii="宋体" w:hAnsi="宋体" w:eastAsia="宋体" w:cs="宋体"/>
              <w:szCs w:val="28"/>
              <w:highlight w:val="none"/>
              <w:lang w:val="en-US" w:eastAsia="zh-CN"/>
            </w:rPr>
            <w:t>2</w:t>
          </w:r>
          <w:r>
            <w:rPr>
              <w:rFonts w:hint="eastAsia" w:ascii="宋体" w:hAnsi="宋体" w:eastAsia="宋体" w:cs="宋体"/>
              <w:szCs w:val="28"/>
              <w:highlight w:val="none"/>
            </w:rPr>
            <w:t>：</w:t>
          </w:r>
          <w:r>
            <w:rPr>
              <w:rFonts w:hint="eastAsia" w:ascii="宋体" w:hAnsi="宋体" w:eastAsia="宋体" w:cs="宋体"/>
              <w:szCs w:val="28"/>
              <w:highlight w:val="none"/>
              <w:lang w:eastAsia="zh-CN"/>
            </w:rPr>
            <w:t>土地</w:t>
          </w:r>
          <w:r>
            <w:rPr>
              <w:rFonts w:hint="eastAsia" w:ascii="宋体" w:hAnsi="宋体" w:eastAsia="宋体" w:cs="宋体"/>
              <w:szCs w:val="28"/>
              <w:highlight w:val="none"/>
              <w:lang w:val="en-US" w:eastAsia="zh-CN"/>
            </w:rPr>
            <w:t>手续</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_Toc866 \h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_Toc15188 </w:instrText>
          </w:r>
          <w:r>
            <w:rPr>
              <w:rFonts w:hint="eastAsia" w:ascii="宋体" w:hAnsi="宋体" w:eastAsia="宋体" w:cs="宋体"/>
              <w:szCs w:val="36"/>
              <w:highlight w:val="none"/>
              <w:lang w:eastAsia="zh-CN"/>
            </w:rPr>
            <w:fldChar w:fldCharType="separate"/>
          </w:r>
          <w:r>
            <w:rPr>
              <w:rFonts w:hint="eastAsia" w:ascii="宋体" w:hAnsi="宋体" w:eastAsia="宋体" w:cs="宋体"/>
              <w:snapToGrid w:val="0"/>
              <w:kern w:val="2"/>
              <w:szCs w:val="28"/>
              <w:highlight w:val="none"/>
              <w:lang w:val="en-US" w:eastAsia="zh-CN" w:bidi="ar-SA"/>
            </w:rPr>
            <w:t>附件3：监测报告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_Toc15188 \h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rPr>
              <w:rFonts w:hint="eastAsia" w:ascii="宋体" w:hAnsi="宋体" w:eastAsia="宋体" w:cs="宋体"/>
            </w:rPr>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_Toc22518 </w:instrText>
          </w:r>
          <w:r>
            <w:rPr>
              <w:rFonts w:hint="eastAsia" w:ascii="宋体" w:hAnsi="宋体" w:eastAsia="宋体" w:cs="宋体"/>
              <w:szCs w:val="36"/>
              <w:highlight w:val="none"/>
              <w:lang w:eastAsia="zh-CN"/>
            </w:rPr>
            <w:fldChar w:fldCharType="separate"/>
          </w:r>
          <w:r>
            <w:rPr>
              <w:rFonts w:hint="eastAsia" w:ascii="宋体" w:hAnsi="宋体" w:eastAsia="宋体" w:cs="宋体"/>
              <w:snapToGrid w:val="0"/>
              <w:kern w:val="2"/>
              <w:szCs w:val="28"/>
              <w:highlight w:val="none"/>
              <w:lang w:val="en-US" w:eastAsia="zh-CN" w:bidi="ar-SA"/>
            </w:rPr>
            <w:t>附件4：总量核算说明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_Toc22518 \h </w:instrText>
          </w:r>
          <w:r>
            <w:rPr>
              <w:rFonts w:hint="eastAsia" w:ascii="宋体" w:hAnsi="宋体" w:eastAsia="宋体" w:cs="宋体"/>
            </w:rPr>
            <w:fldChar w:fldCharType="separate"/>
          </w:r>
          <w:r>
            <w:rPr>
              <w:rFonts w:hint="eastAsia" w:ascii="宋体" w:hAnsi="宋体" w:eastAsia="宋体" w:cs="宋体"/>
            </w:rPr>
            <w:t>59</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pStyle w:val="24"/>
            <w:tabs>
              <w:tab w:val="right" w:leader="dot" w:pos="8844"/>
            </w:tabs>
          </w:pPr>
          <w:r>
            <w:rPr>
              <w:rFonts w:hint="eastAsia" w:ascii="宋体" w:hAnsi="宋体" w:eastAsia="宋体" w:cs="宋体"/>
              <w:color w:val="auto"/>
              <w:szCs w:val="36"/>
              <w:highlight w:val="none"/>
              <w:lang w:eastAsia="zh-CN"/>
            </w:rPr>
            <w:fldChar w:fldCharType="begin"/>
          </w:r>
          <w:r>
            <w:rPr>
              <w:rFonts w:hint="eastAsia" w:ascii="宋体" w:hAnsi="宋体" w:eastAsia="宋体" w:cs="宋体"/>
              <w:szCs w:val="36"/>
              <w:highlight w:val="none"/>
              <w:lang w:eastAsia="zh-CN"/>
            </w:rPr>
            <w:instrText xml:space="preserve"> HYPERLINK \l _Toc12635 </w:instrText>
          </w:r>
          <w:r>
            <w:rPr>
              <w:rFonts w:hint="eastAsia" w:ascii="宋体" w:hAnsi="宋体" w:eastAsia="宋体" w:cs="宋体"/>
              <w:szCs w:val="36"/>
              <w:highlight w:val="none"/>
              <w:lang w:eastAsia="zh-CN"/>
            </w:rPr>
            <w:fldChar w:fldCharType="separate"/>
          </w:r>
          <w:r>
            <w:rPr>
              <w:rFonts w:hint="eastAsia" w:ascii="宋体" w:hAnsi="宋体" w:eastAsia="宋体" w:cs="宋体"/>
              <w:szCs w:val="28"/>
              <w:highlight w:val="none"/>
              <w:lang w:eastAsia="zh-CN"/>
            </w:rPr>
            <w:t>附件</w:t>
          </w:r>
          <w:r>
            <w:rPr>
              <w:rFonts w:hint="eastAsia" w:ascii="宋体" w:hAnsi="宋体" w:eastAsia="宋体" w:cs="宋体"/>
              <w:szCs w:val="28"/>
              <w:highlight w:val="none"/>
              <w:lang w:val="en-US" w:eastAsia="zh-CN"/>
            </w:rPr>
            <w:t>5：生态环境分区管控分析报告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_Toc12635 \h </w:instrText>
          </w:r>
          <w:r>
            <w:rPr>
              <w:rFonts w:hint="eastAsia" w:ascii="宋体" w:hAnsi="宋体" w:eastAsia="宋体" w:cs="宋体"/>
            </w:rPr>
            <w:fldChar w:fldCharType="separate"/>
          </w:r>
          <w:r>
            <w:rPr>
              <w:rFonts w:hint="eastAsia" w:ascii="宋体" w:hAnsi="宋体" w:eastAsia="宋体" w:cs="宋体"/>
            </w:rPr>
            <w:t>63</w:t>
          </w:r>
          <w:r>
            <w:rPr>
              <w:rFonts w:hint="eastAsia" w:ascii="宋体" w:hAnsi="宋体" w:eastAsia="宋体" w:cs="宋体"/>
            </w:rPr>
            <w:fldChar w:fldCharType="end"/>
          </w:r>
          <w:r>
            <w:rPr>
              <w:rFonts w:hint="eastAsia" w:ascii="宋体" w:hAnsi="宋体" w:eastAsia="宋体" w:cs="宋体"/>
              <w:color w:val="auto"/>
              <w:szCs w:val="36"/>
              <w:highlight w:val="none"/>
              <w:lang w:eastAsia="zh-CN"/>
            </w:rPr>
            <w:fldChar w:fldCharType="end"/>
          </w:r>
        </w:p>
        <w:p>
          <w:pPr>
            <w:spacing w:before="0" w:beforeLines="0" w:after="0" w:afterLines="0" w:line="240" w:lineRule="auto"/>
            <w:ind w:left="0" w:leftChars="0" w:right="0" w:rightChars="0" w:firstLine="0" w:firstLineChars="0"/>
            <w:jc w:val="center"/>
            <w:rPr>
              <w:rFonts w:hint="eastAsia"/>
              <w:color w:val="auto"/>
              <w:highlight w:val="none"/>
              <w:lang w:eastAsia="zh-CN"/>
            </w:rPr>
          </w:pPr>
          <w:r>
            <w:rPr>
              <w:rFonts w:hint="default" w:ascii="Times New Roman" w:hAnsi="Times New Roman" w:eastAsia="宋体" w:cs="Times New Roman"/>
              <w:color w:val="auto"/>
              <w:sz w:val="32"/>
              <w:szCs w:val="36"/>
              <w:highlight w:val="none"/>
              <w:lang w:eastAsia="zh-CN"/>
            </w:rPr>
            <w:fldChar w:fldCharType="end"/>
          </w:r>
        </w:p>
      </w:sdtContent>
    </w:sdt>
    <w:p>
      <w:pPr>
        <w:adjustRightInd w:val="0"/>
        <w:snapToGrid w:val="0"/>
        <w:spacing w:line="288" w:lineRule="auto"/>
        <w:rPr>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8"/>
        <w:spacing w:before="0" w:beforeAutospacing="0" w:after="0" w:afterAutospacing="0"/>
        <w:jc w:val="center"/>
        <w:outlineLvl w:val="0"/>
        <w:rPr>
          <w:rFonts w:ascii="Times New Roman" w:hAnsi="Times New Roman"/>
          <w:b/>
          <w:bCs/>
          <w:snapToGrid w:val="0"/>
          <w:color w:val="auto"/>
          <w:sz w:val="30"/>
          <w:szCs w:val="30"/>
          <w:highlight w:val="none"/>
        </w:rPr>
      </w:pPr>
      <w:bookmarkStart w:id="13" w:name="_Toc31731"/>
      <w:r>
        <w:rPr>
          <w:rFonts w:ascii="Times New Roman" w:hAnsi="Times New Roman"/>
          <w:b/>
          <w:bCs/>
          <w:snapToGrid w:val="0"/>
          <w:color w:val="auto"/>
          <w:sz w:val="30"/>
          <w:szCs w:val="30"/>
          <w:highlight w:val="none"/>
        </w:rPr>
        <w:t>一、建设项目基本情况</w:t>
      </w:r>
      <w:bookmarkEnd w:id="13"/>
    </w:p>
    <w:tbl>
      <w:tblPr>
        <w:tblStyle w:val="32"/>
        <w:tblW w:w="952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68"/>
        <w:gridCol w:w="2347"/>
        <w:gridCol w:w="2371"/>
        <w:gridCol w:w="28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建设项目名称</w:t>
            </w:r>
          </w:p>
        </w:tc>
        <w:tc>
          <w:tcPr>
            <w:tcW w:w="7556" w:type="dxa"/>
            <w:gridSpan w:val="3"/>
            <w:vAlign w:val="center"/>
          </w:tcPr>
          <w:p>
            <w:pPr>
              <w:adjustRightInd w:val="0"/>
              <w:snapToGrid w:val="0"/>
              <w:jc w:val="center"/>
              <w:rPr>
                <w:rFonts w:hint="eastAsia"/>
                <w:color w:val="auto"/>
                <w:sz w:val="24"/>
                <w:highlight w:val="none"/>
                <w:lang w:eastAsia="zh-CN"/>
              </w:rPr>
            </w:pPr>
            <w:r>
              <w:rPr>
                <w:rFonts w:hint="eastAsia"/>
                <w:color w:val="auto"/>
                <w:sz w:val="24"/>
                <w:highlight w:val="none"/>
                <w:lang w:eastAsia="zh-CN"/>
              </w:rPr>
              <w:t>黑龙江省龙建路桥第二工程有限公司嘉荫分公司商品混凝土搅拌站</w:t>
            </w:r>
          </w:p>
          <w:p>
            <w:pPr>
              <w:adjustRightInd w:val="0"/>
              <w:snapToGrid w:val="0"/>
              <w:jc w:val="center"/>
              <w:rPr>
                <w:rFonts w:hint="eastAsia" w:eastAsia="宋体"/>
                <w:color w:val="auto"/>
                <w:sz w:val="24"/>
                <w:highlight w:val="none"/>
                <w:lang w:eastAsia="zh-CN"/>
              </w:rPr>
            </w:pPr>
            <w:r>
              <w:rPr>
                <w:rFonts w:hint="eastAsia"/>
                <w:color w:val="auto"/>
                <w:sz w:val="24"/>
                <w:highlight w:val="none"/>
                <w:lang w:eastAsia="zh-CN"/>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项目代码</w:t>
            </w:r>
          </w:p>
        </w:tc>
        <w:tc>
          <w:tcPr>
            <w:tcW w:w="7556" w:type="dxa"/>
            <w:gridSpan w:val="3"/>
            <w:vAlign w:val="center"/>
          </w:tcPr>
          <w:p>
            <w:pPr>
              <w:adjustRightInd w:val="0"/>
              <w:snapToGrid w:val="0"/>
              <w:jc w:val="center"/>
              <w:rPr>
                <w:rFonts w:hint="eastAsia" w:eastAsia="宋体"/>
                <w:color w:val="auto"/>
                <w:sz w:val="24"/>
                <w:highlight w:val="none"/>
                <w:lang w:val="en-US" w:eastAsia="zh-CN"/>
              </w:rPr>
            </w:pPr>
            <w:r>
              <w:rPr>
                <w:rFonts w:hint="eastAsia"/>
                <w:color w:val="auto"/>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pPr>
              <w:adjustRightInd w:val="0"/>
              <w:snapToGrid w:val="0"/>
              <w:jc w:val="center"/>
              <w:rPr>
                <w:rFonts w:hint="eastAsia"/>
                <w:color w:val="auto"/>
                <w:sz w:val="24"/>
                <w:highlight w:val="none"/>
                <w:lang w:val="en-US" w:eastAsia="zh-CN"/>
              </w:rPr>
            </w:pPr>
            <w:r>
              <w:rPr>
                <w:rFonts w:hint="eastAsia"/>
                <w:color w:val="auto"/>
                <w:sz w:val="24"/>
                <w:highlight w:val="none"/>
                <w:lang w:val="en-US" w:eastAsia="zh-CN"/>
              </w:rPr>
              <w:t>建设单位联系人</w:t>
            </w:r>
          </w:p>
        </w:tc>
        <w:tc>
          <w:tcPr>
            <w:tcW w:w="2347" w:type="dxa"/>
            <w:vAlign w:val="center"/>
          </w:tcPr>
          <w:p>
            <w:pPr>
              <w:pStyle w:val="10"/>
              <w:jc w:val="center"/>
              <w:rPr>
                <w:rFonts w:hint="eastAsia" w:ascii="Times New Roman" w:hAnsi="Times New Roman" w:cs="Times New Roman"/>
                <w:color w:val="auto"/>
                <w:sz w:val="24"/>
                <w:highlight w:val="none"/>
                <w:lang w:val="en-US" w:eastAsia="zh-CN"/>
              </w:rPr>
            </w:pPr>
          </w:p>
        </w:tc>
        <w:tc>
          <w:tcPr>
            <w:tcW w:w="2371" w:type="dxa"/>
            <w:vAlign w:val="center"/>
          </w:tcPr>
          <w:p>
            <w:pPr>
              <w:adjustRightInd w:val="0"/>
              <w:snapToGrid w:val="0"/>
              <w:jc w:val="center"/>
              <w:rPr>
                <w:rFonts w:hint="eastAsia" w:ascii="Times New Roman" w:hAnsi="Times New Roman" w:cs="Times New Roman"/>
                <w:color w:val="auto"/>
                <w:sz w:val="24"/>
                <w:highlight w:val="none"/>
                <w:lang w:val="en-US" w:eastAsia="zh-CN"/>
              </w:rPr>
            </w:pPr>
            <w:r>
              <w:rPr>
                <w:rFonts w:hint="eastAsia"/>
                <w:color w:val="auto"/>
                <w:sz w:val="24"/>
                <w:highlight w:val="none"/>
              </w:rPr>
              <w:t>联系方式</w:t>
            </w:r>
          </w:p>
        </w:tc>
        <w:tc>
          <w:tcPr>
            <w:tcW w:w="2838" w:type="dxa"/>
            <w:vAlign w:val="center"/>
          </w:tcPr>
          <w:p>
            <w:pPr>
              <w:pStyle w:val="10"/>
              <w:jc w:val="center"/>
              <w:rPr>
                <w:rFonts w:hint="default" w:ascii="Times New Roman" w:hAnsi="Times New Roman" w:cs="Times New Roman"/>
                <w:color w:val="auto"/>
                <w:sz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建设地点</w:t>
            </w:r>
          </w:p>
        </w:tc>
        <w:tc>
          <w:tcPr>
            <w:tcW w:w="7556" w:type="dxa"/>
            <w:gridSpan w:val="3"/>
            <w:vAlign w:val="center"/>
          </w:tcPr>
          <w:p>
            <w:pPr>
              <w:adjustRightInd w:val="0"/>
              <w:snapToGrid w:val="0"/>
              <w:jc w:val="center"/>
              <w:rPr>
                <w:rFonts w:hint="eastAsia" w:eastAsia="宋体"/>
                <w:color w:val="auto"/>
                <w:sz w:val="24"/>
                <w:highlight w:val="none"/>
                <w:lang w:val="en-US" w:eastAsia="zh-CN"/>
              </w:rPr>
            </w:pPr>
            <w:r>
              <w:rPr>
                <w:rFonts w:hint="eastAsia"/>
                <w:color w:val="auto"/>
                <w:sz w:val="24"/>
                <w:lang w:eastAsia="zh-CN"/>
              </w:rPr>
              <w:t>伊春市嘉荫县旧城村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地理坐标</w:t>
            </w:r>
          </w:p>
        </w:tc>
        <w:tc>
          <w:tcPr>
            <w:tcW w:w="7556" w:type="dxa"/>
            <w:gridSpan w:val="3"/>
            <w:vAlign w:val="center"/>
          </w:tcPr>
          <w:p>
            <w:pPr>
              <w:adjustRightInd w:val="0"/>
              <w:snapToGrid w:val="0"/>
              <w:jc w:val="center"/>
              <w:rPr>
                <w:color w:val="auto"/>
                <w:sz w:val="24"/>
                <w:highlight w:val="none"/>
              </w:rPr>
            </w:pPr>
            <w:r>
              <w:rPr>
                <w:rFonts w:hint="eastAsia"/>
                <w:color w:val="auto"/>
                <w:sz w:val="24"/>
                <w:highlight w:val="none"/>
              </w:rPr>
              <w:t>（</w:t>
            </w:r>
            <w:r>
              <w:rPr>
                <w:rFonts w:hint="default" w:ascii="Times New Roman" w:hAnsi="Times New Roman" w:cs="Times New Roman"/>
                <w:color w:val="auto"/>
                <w:sz w:val="24"/>
                <w:highlight w:val="none"/>
              </w:rPr>
              <w:t>1</w:t>
            </w:r>
            <w:r>
              <w:rPr>
                <w:rFonts w:hint="eastAsia" w:cs="Times New Roman"/>
                <w:color w:val="auto"/>
                <w:sz w:val="24"/>
                <w:highlight w:val="none"/>
                <w:lang w:val="en-US" w:eastAsia="zh-CN"/>
              </w:rPr>
              <w:t>29</w:t>
            </w:r>
            <w:r>
              <w:rPr>
                <w:rFonts w:hint="eastAsia"/>
                <w:color w:val="auto"/>
                <w:sz w:val="24"/>
                <w:highlight w:val="none"/>
              </w:rPr>
              <w:t>度</w:t>
            </w:r>
            <w:r>
              <w:rPr>
                <w:rFonts w:hint="eastAsia" w:cs="Times New Roman"/>
                <w:color w:val="auto"/>
                <w:sz w:val="24"/>
                <w:highlight w:val="none"/>
                <w:lang w:val="en-US" w:eastAsia="zh-CN"/>
              </w:rPr>
              <w:t>40</w:t>
            </w:r>
            <w:r>
              <w:rPr>
                <w:rFonts w:hint="eastAsia"/>
                <w:color w:val="auto"/>
                <w:sz w:val="24"/>
                <w:highlight w:val="none"/>
              </w:rPr>
              <w:t>分</w:t>
            </w:r>
            <w:r>
              <w:rPr>
                <w:rFonts w:hint="eastAsia"/>
                <w:color w:val="auto"/>
                <w:sz w:val="24"/>
                <w:highlight w:val="none"/>
                <w:lang w:val="en-US" w:eastAsia="zh-CN"/>
              </w:rPr>
              <w:t>51.704</w:t>
            </w:r>
            <w:r>
              <w:rPr>
                <w:rFonts w:hint="eastAsia"/>
                <w:color w:val="auto"/>
                <w:sz w:val="24"/>
                <w:highlight w:val="none"/>
              </w:rPr>
              <w:t>秒，</w:t>
            </w:r>
            <w:r>
              <w:rPr>
                <w:rFonts w:hint="default" w:ascii="Times New Roman" w:hAnsi="Times New Roman" w:cs="Times New Roman"/>
                <w:color w:val="auto"/>
                <w:sz w:val="24"/>
                <w:highlight w:val="none"/>
                <w:lang w:val="en-US" w:eastAsia="zh-CN"/>
              </w:rPr>
              <w:t>4</w:t>
            </w:r>
            <w:r>
              <w:rPr>
                <w:rFonts w:hint="eastAsia" w:cs="Times New Roman"/>
                <w:color w:val="auto"/>
                <w:sz w:val="24"/>
                <w:highlight w:val="none"/>
                <w:lang w:val="en-US" w:eastAsia="zh-CN"/>
              </w:rPr>
              <w:t>9</w:t>
            </w:r>
            <w:r>
              <w:rPr>
                <w:rFonts w:hint="eastAsia"/>
                <w:color w:val="auto"/>
                <w:sz w:val="24"/>
                <w:highlight w:val="none"/>
              </w:rPr>
              <w:t>度</w:t>
            </w:r>
            <w:r>
              <w:rPr>
                <w:rFonts w:hint="eastAsia" w:cs="Times New Roman"/>
                <w:color w:val="auto"/>
                <w:sz w:val="24"/>
                <w:highlight w:val="none"/>
                <w:lang w:val="en-US" w:eastAsia="zh-CN"/>
              </w:rPr>
              <w:t>16</w:t>
            </w:r>
            <w:r>
              <w:rPr>
                <w:rFonts w:hint="eastAsia"/>
                <w:color w:val="auto"/>
                <w:sz w:val="24"/>
                <w:highlight w:val="none"/>
              </w:rPr>
              <w:t>分</w:t>
            </w:r>
            <w:r>
              <w:rPr>
                <w:rFonts w:hint="eastAsia" w:cs="Times New Roman"/>
                <w:color w:val="auto"/>
                <w:sz w:val="24"/>
                <w:highlight w:val="none"/>
                <w:lang w:val="en-US" w:eastAsia="zh-CN"/>
              </w:rPr>
              <w:t>47.140</w:t>
            </w:r>
            <w:r>
              <w:rPr>
                <w:rFonts w:hint="eastAsia"/>
                <w:color w:val="auto"/>
                <w:sz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国民经济</w:t>
            </w:r>
          </w:p>
          <w:p>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行业类别</w:t>
            </w:r>
          </w:p>
        </w:tc>
        <w:tc>
          <w:tcPr>
            <w:tcW w:w="2347" w:type="dxa"/>
            <w:vAlign w:val="center"/>
          </w:tcPr>
          <w:p>
            <w:pPr>
              <w:jc w:val="center"/>
              <w:rPr>
                <w:rFonts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C3021水泥制品制造</w:t>
            </w:r>
          </w:p>
        </w:tc>
        <w:tc>
          <w:tcPr>
            <w:tcW w:w="2371" w:type="dxa"/>
            <w:vAlign w:val="center"/>
          </w:tcPr>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w:t>
            </w:r>
          </w:p>
          <w:p>
            <w:pPr>
              <w:jc w:val="center"/>
              <w:rPr>
                <w:rFonts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行业类别</w:t>
            </w:r>
          </w:p>
        </w:tc>
        <w:tc>
          <w:tcPr>
            <w:tcW w:w="2838" w:type="dxa"/>
            <w:vAlign w:val="center"/>
          </w:tcPr>
          <w:p>
            <w:pPr>
              <w:jc w:val="center"/>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二十七、非金属矿物制品</w:t>
            </w:r>
            <w:r>
              <w:rPr>
                <w:rFonts w:hint="default" w:ascii="Times New Roman" w:hAnsi="Times New Roman" w:eastAsia="宋体" w:cs="Times New Roman"/>
                <w:color w:val="auto"/>
                <w:sz w:val="24"/>
                <w:highlight w:val="none"/>
                <w:lang w:val="en-US" w:eastAsia="zh-CN"/>
              </w:rPr>
              <w:t>30-</w:t>
            </w:r>
            <w:r>
              <w:rPr>
                <w:rFonts w:hint="default" w:ascii="Times New Roman" w:hAnsi="Times New Roman" w:eastAsia="宋体" w:cs="Times New Roman"/>
                <w:color w:val="auto"/>
                <w:sz w:val="24"/>
                <w:highlight w:val="none"/>
              </w:rPr>
              <w:t>55</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石膏、水泥制品及类似制品制造302</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商品混凝土；砼结构构件制造；水泥制品制造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0" w:hRule="atLeast"/>
          <w:jc w:val="center"/>
        </w:trPr>
        <w:tc>
          <w:tcPr>
            <w:tcW w:w="1968"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建设性质</w:t>
            </w:r>
          </w:p>
        </w:tc>
        <w:tc>
          <w:tcPr>
            <w:tcW w:w="2347" w:type="dxa"/>
            <w:vAlign w:val="center"/>
          </w:tcPr>
          <w:p>
            <w:pPr>
              <w:jc w:val="left"/>
              <w:rPr>
                <w:color w:val="auto"/>
                <w:sz w:val="24"/>
                <w:highlight w:val="none"/>
              </w:rPr>
            </w:pPr>
            <w:r>
              <w:rPr>
                <w:color w:val="auto"/>
                <w:sz w:val="24"/>
                <w:highlight w:val="none"/>
              </w:rPr>
              <w:sym w:font="Wingdings 2" w:char="0052"/>
            </w:r>
            <w:r>
              <w:rPr>
                <w:color w:val="auto"/>
                <w:sz w:val="24"/>
                <w:highlight w:val="none"/>
              </w:rPr>
              <w:t>新建（迁建）</w:t>
            </w:r>
          </w:p>
          <w:p>
            <w:pPr>
              <w:jc w:val="left"/>
              <w:rPr>
                <w:color w:val="auto"/>
                <w:sz w:val="24"/>
                <w:highlight w:val="none"/>
              </w:rPr>
            </w:pPr>
            <w:r>
              <w:rPr>
                <w:color w:val="auto"/>
                <w:sz w:val="24"/>
                <w:highlight w:val="none"/>
              </w:rPr>
              <w:sym w:font="Wingdings 2" w:char="00A3"/>
            </w:r>
            <w:r>
              <w:rPr>
                <w:color w:val="auto"/>
                <w:sz w:val="24"/>
                <w:highlight w:val="none"/>
              </w:rPr>
              <w:t>改建</w:t>
            </w:r>
          </w:p>
          <w:p>
            <w:pPr>
              <w:jc w:val="left"/>
              <w:rPr>
                <w:color w:val="auto"/>
                <w:sz w:val="24"/>
                <w:highlight w:val="none"/>
              </w:rPr>
            </w:pPr>
            <w:r>
              <w:rPr>
                <w:color w:val="auto"/>
                <w:sz w:val="24"/>
                <w:highlight w:val="none"/>
              </w:rPr>
              <w:sym w:font="Wingdings 2" w:char="00A3"/>
            </w:r>
            <w:r>
              <w:rPr>
                <w:color w:val="auto"/>
                <w:sz w:val="24"/>
                <w:highlight w:val="none"/>
              </w:rPr>
              <w:t>扩建</w:t>
            </w:r>
          </w:p>
          <w:p>
            <w:pPr>
              <w:jc w:val="left"/>
              <w:rPr>
                <w:color w:val="auto"/>
                <w:sz w:val="24"/>
                <w:highlight w:val="none"/>
              </w:rPr>
            </w:pPr>
            <w:r>
              <w:rPr>
                <w:color w:val="auto"/>
                <w:sz w:val="24"/>
                <w:highlight w:val="none"/>
              </w:rPr>
              <w:t>□技术改造</w:t>
            </w:r>
          </w:p>
        </w:tc>
        <w:tc>
          <w:tcPr>
            <w:tcW w:w="2371" w:type="dxa"/>
            <w:vAlign w:val="center"/>
          </w:tcPr>
          <w:p>
            <w:pPr>
              <w:adjustRightInd w:val="0"/>
              <w:snapToGrid w:val="0"/>
              <w:jc w:val="center"/>
              <w:rPr>
                <w:color w:val="auto"/>
                <w:sz w:val="24"/>
                <w:highlight w:val="none"/>
              </w:rPr>
            </w:pPr>
            <w:r>
              <w:rPr>
                <w:color w:val="auto"/>
                <w:sz w:val="24"/>
                <w:highlight w:val="none"/>
              </w:rPr>
              <w:t>建设项目</w:t>
            </w:r>
          </w:p>
          <w:p>
            <w:pPr>
              <w:adjustRightInd w:val="0"/>
              <w:snapToGrid w:val="0"/>
              <w:jc w:val="center"/>
              <w:rPr>
                <w:color w:val="auto"/>
                <w:sz w:val="24"/>
                <w:highlight w:val="none"/>
              </w:rPr>
            </w:pPr>
            <w:r>
              <w:rPr>
                <w:color w:val="auto"/>
                <w:sz w:val="24"/>
                <w:highlight w:val="none"/>
              </w:rPr>
              <w:t>申报情形</w:t>
            </w:r>
          </w:p>
        </w:tc>
        <w:tc>
          <w:tcPr>
            <w:tcW w:w="2838" w:type="dxa"/>
            <w:vAlign w:val="center"/>
          </w:tcPr>
          <w:p>
            <w:pPr>
              <w:jc w:val="left"/>
              <w:rPr>
                <w:color w:val="auto"/>
                <w:sz w:val="24"/>
                <w:highlight w:val="none"/>
              </w:rPr>
            </w:pPr>
            <w:r>
              <w:rPr>
                <w:color w:val="auto"/>
                <w:sz w:val="24"/>
                <w:highlight w:val="none"/>
              </w:rPr>
              <w:sym w:font="Wingdings 2" w:char="0052"/>
            </w:r>
            <w:r>
              <w:rPr>
                <w:color w:val="auto"/>
                <w:sz w:val="24"/>
                <w:highlight w:val="none"/>
              </w:rPr>
              <w:t>首次申报项目</w:t>
            </w:r>
          </w:p>
          <w:p>
            <w:pPr>
              <w:jc w:val="left"/>
              <w:rPr>
                <w:color w:val="auto"/>
                <w:sz w:val="24"/>
                <w:highlight w:val="none"/>
              </w:rPr>
            </w:pPr>
            <w:r>
              <w:rPr>
                <w:color w:val="auto"/>
                <w:sz w:val="24"/>
                <w:highlight w:val="none"/>
              </w:rPr>
              <w:t>□不予批准后再次申报项目</w:t>
            </w:r>
          </w:p>
          <w:p>
            <w:pPr>
              <w:jc w:val="left"/>
              <w:rPr>
                <w:color w:val="auto"/>
                <w:sz w:val="24"/>
                <w:highlight w:val="none"/>
              </w:rPr>
            </w:pPr>
            <w:r>
              <w:rPr>
                <w:color w:val="auto"/>
                <w:sz w:val="24"/>
                <w:highlight w:val="none"/>
              </w:rPr>
              <w:t>□超五年重新审核项目</w:t>
            </w:r>
          </w:p>
          <w:p>
            <w:pPr>
              <w:jc w:val="left"/>
              <w:rPr>
                <w:color w:val="auto"/>
                <w:sz w:val="24"/>
                <w:highlight w:val="none"/>
              </w:rPr>
            </w:pPr>
            <w:r>
              <w:rPr>
                <w:color w:val="auto"/>
                <w:sz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项目审批（核准/</w:t>
            </w:r>
          </w:p>
          <w:p>
            <w:pPr>
              <w:adjustRightInd w:val="0"/>
              <w:snapToGrid w:val="0"/>
              <w:jc w:val="center"/>
              <w:rPr>
                <w:color w:val="auto"/>
                <w:sz w:val="24"/>
                <w:highlight w:val="none"/>
              </w:rPr>
            </w:pPr>
            <w:r>
              <w:rPr>
                <w:color w:val="auto"/>
                <w:sz w:val="24"/>
                <w:highlight w:val="none"/>
              </w:rPr>
              <w:t>备案）部门（选填）</w:t>
            </w:r>
          </w:p>
        </w:tc>
        <w:tc>
          <w:tcPr>
            <w:tcW w:w="2347" w:type="dxa"/>
            <w:vAlign w:val="center"/>
          </w:tcPr>
          <w:p>
            <w:pPr>
              <w:adjustRightInd w:val="0"/>
              <w:snapToGrid w:val="0"/>
              <w:jc w:val="center"/>
              <w:rPr>
                <w:color w:val="auto"/>
                <w:sz w:val="24"/>
                <w:highlight w:val="none"/>
              </w:rPr>
            </w:pPr>
            <w:r>
              <w:rPr>
                <w:color w:val="auto"/>
                <w:sz w:val="24"/>
                <w:highlight w:val="none"/>
              </w:rPr>
              <w:t>/</w:t>
            </w:r>
          </w:p>
        </w:tc>
        <w:tc>
          <w:tcPr>
            <w:tcW w:w="2371" w:type="dxa"/>
            <w:vAlign w:val="center"/>
          </w:tcPr>
          <w:p>
            <w:pPr>
              <w:adjustRightInd w:val="0"/>
              <w:snapToGrid w:val="0"/>
              <w:jc w:val="center"/>
              <w:rPr>
                <w:color w:val="auto"/>
                <w:sz w:val="24"/>
                <w:highlight w:val="none"/>
              </w:rPr>
            </w:pPr>
            <w:r>
              <w:rPr>
                <w:color w:val="auto"/>
                <w:sz w:val="24"/>
                <w:highlight w:val="none"/>
              </w:rPr>
              <w:t>项目审批（核准/</w:t>
            </w:r>
          </w:p>
          <w:p>
            <w:pPr>
              <w:adjustRightInd w:val="0"/>
              <w:snapToGrid w:val="0"/>
              <w:jc w:val="center"/>
              <w:rPr>
                <w:color w:val="auto"/>
                <w:sz w:val="24"/>
                <w:highlight w:val="none"/>
              </w:rPr>
            </w:pPr>
            <w:r>
              <w:rPr>
                <w:color w:val="auto"/>
                <w:sz w:val="24"/>
                <w:highlight w:val="none"/>
              </w:rPr>
              <w:t>备案）文号（选填）</w:t>
            </w:r>
          </w:p>
        </w:tc>
        <w:tc>
          <w:tcPr>
            <w:tcW w:w="2838" w:type="dxa"/>
            <w:vAlign w:val="center"/>
          </w:tcPr>
          <w:p>
            <w:pPr>
              <w:adjustRightInd w:val="0"/>
              <w:snapToGrid w:val="0"/>
              <w:jc w:val="center"/>
              <w:rPr>
                <w:color w:val="auto"/>
                <w:sz w:val="24"/>
                <w:highlight w:val="none"/>
              </w:rPr>
            </w:pPr>
            <w:r>
              <w:rPr>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总投资（万元）</w:t>
            </w:r>
          </w:p>
        </w:tc>
        <w:tc>
          <w:tcPr>
            <w:tcW w:w="2347" w:type="dxa"/>
            <w:vAlign w:val="center"/>
          </w:tcPr>
          <w:p>
            <w:pPr>
              <w:adjustRightInd w:val="0"/>
              <w:snapToGrid w:val="0"/>
              <w:jc w:val="center"/>
              <w:rPr>
                <w:rFonts w:hint="default" w:eastAsia="宋体"/>
                <w:color w:val="auto"/>
                <w:sz w:val="24"/>
                <w:highlight w:val="none"/>
                <w:lang w:val="en-US" w:eastAsia="zh-CN"/>
              </w:rPr>
            </w:pPr>
            <w:r>
              <w:rPr>
                <w:rFonts w:hint="eastAsia" w:cs="Times New Roman"/>
                <w:color w:val="auto"/>
                <w:sz w:val="24"/>
                <w:highlight w:val="none"/>
                <w:lang w:val="en-US" w:eastAsia="zh-CN"/>
              </w:rPr>
              <w:t>108.15</w:t>
            </w:r>
          </w:p>
        </w:tc>
        <w:tc>
          <w:tcPr>
            <w:tcW w:w="2371"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环保投资（万元）</w:t>
            </w:r>
          </w:p>
        </w:tc>
        <w:tc>
          <w:tcPr>
            <w:tcW w:w="2838" w:type="dxa"/>
            <w:vAlign w:val="center"/>
          </w:tcPr>
          <w:p>
            <w:pPr>
              <w:adjustRightInd w:val="0"/>
              <w:snapToGrid w:val="0"/>
              <w:jc w:val="center"/>
              <w:rPr>
                <w:rFonts w:hint="default" w:eastAsia="宋体"/>
                <w:color w:val="auto"/>
                <w:sz w:val="24"/>
                <w:highlight w:val="none"/>
                <w:lang w:val="en-US" w:eastAsia="zh-CN"/>
              </w:rPr>
            </w:pPr>
            <w:r>
              <w:rPr>
                <w:rFonts w:hint="eastAsia" w:cs="Times New Roman"/>
                <w:color w:val="auto"/>
                <w:sz w:val="24"/>
                <w:highlight w:val="none"/>
                <w:lang w:val="en-US" w:eastAsia="zh-CN"/>
              </w:rPr>
              <w:t>21.63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34" w:hRule="atLeast"/>
          <w:jc w:val="center"/>
        </w:trPr>
        <w:tc>
          <w:tcPr>
            <w:tcW w:w="1968"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环保投资占比（%）</w:t>
            </w:r>
          </w:p>
        </w:tc>
        <w:tc>
          <w:tcPr>
            <w:tcW w:w="2347" w:type="dxa"/>
            <w:vAlign w:val="center"/>
          </w:tcPr>
          <w:p>
            <w:pPr>
              <w:adjustRightInd w:val="0"/>
              <w:snapToGrid w:val="0"/>
              <w:jc w:val="center"/>
              <w:rPr>
                <w:rFonts w:hint="default"/>
                <w:color w:val="auto"/>
                <w:sz w:val="24"/>
                <w:highlight w:val="none"/>
                <w:lang w:val="en-US"/>
              </w:rPr>
            </w:pPr>
            <w:r>
              <w:rPr>
                <w:rFonts w:hint="eastAsia" w:cs="Times New Roman"/>
                <w:color w:val="auto"/>
                <w:sz w:val="24"/>
                <w:highlight w:val="none"/>
                <w:lang w:val="en-US" w:eastAsia="zh-CN"/>
              </w:rPr>
              <w:t>20</w:t>
            </w:r>
            <w:r>
              <w:rPr>
                <w:rFonts w:hint="eastAsia"/>
                <w:color w:val="auto"/>
                <w:sz w:val="24"/>
                <w:highlight w:val="none"/>
              </w:rPr>
              <w:t>%</w:t>
            </w:r>
          </w:p>
        </w:tc>
        <w:tc>
          <w:tcPr>
            <w:tcW w:w="2371"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施工工期</w:t>
            </w:r>
          </w:p>
        </w:tc>
        <w:tc>
          <w:tcPr>
            <w:tcW w:w="2838" w:type="dxa"/>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62" w:hRule="atLeast"/>
          <w:jc w:val="center"/>
        </w:trPr>
        <w:tc>
          <w:tcPr>
            <w:tcW w:w="1968"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是否开工建设</w:t>
            </w:r>
          </w:p>
        </w:tc>
        <w:tc>
          <w:tcPr>
            <w:tcW w:w="2347" w:type="dxa"/>
            <w:vAlign w:val="center"/>
          </w:tcPr>
          <w:p>
            <w:pPr>
              <w:adjustRightInd w:val="0"/>
              <w:snapToGrid w:val="0"/>
              <w:jc w:val="left"/>
              <w:rPr>
                <w:color w:val="auto"/>
                <w:sz w:val="24"/>
                <w:highlight w:val="none"/>
              </w:rPr>
            </w:pPr>
            <w:r>
              <w:rPr>
                <w:rFonts w:hint="eastAsia"/>
                <w:color w:val="auto"/>
                <w:sz w:val="24"/>
                <w:highlight w:val="none"/>
                <w:lang w:eastAsia="zh-CN"/>
              </w:rPr>
              <w:t>□</w:t>
            </w:r>
            <w:r>
              <w:rPr>
                <w:color w:val="auto"/>
                <w:sz w:val="24"/>
                <w:highlight w:val="none"/>
              </w:rPr>
              <w:t>否</w:t>
            </w:r>
          </w:p>
          <w:p>
            <w:pPr>
              <w:adjustRightInd w:val="0"/>
              <w:snapToGrid w:val="0"/>
              <w:jc w:val="left"/>
              <w:rPr>
                <w:rFonts w:hint="eastAsia" w:eastAsia="宋体"/>
                <w:color w:val="auto"/>
                <w:sz w:val="24"/>
                <w:highlight w:val="none"/>
                <w:lang w:val="en-US" w:eastAsia="zh-CN"/>
              </w:rPr>
            </w:pPr>
            <w:r>
              <w:rPr>
                <w:rFonts w:hint="eastAsia"/>
                <w:color w:val="auto"/>
                <w:sz w:val="24"/>
                <w:highlight w:val="none"/>
                <w:lang w:eastAsia="zh-CN"/>
              </w:rPr>
              <w:t>☑</w:t>
            </w:r>
            <w:r>
              <w:rPr>
                <w:color w:val="auto"/>
                <w:sz w:val="24"/>
                <w:highlight w:val="none"/>
              </w:rPr>
              <w:t>是：</w:t>
            </w:r>
            <w:r>
              <w:rPr>
                <w:rFonts w:hint="eastAsia" w:ascii="Times New Roman" w:hAnsi="Times New Roman" w:eastAsia="宋体" w:cs="Times New Roman"/>
                <w:color w:val="auto"/>
                <w:sz w:val="24"/>
                <w:highlight w:val="none"/>
                <w:u w:val="single"/>
                <w:lang w:val="en-US" w:eastAsia="zh-CN"/>
              </w:rPr>
              <w:t>项目于</w:t>
            </w:r>
            <w:r>
              <w:rPr>
                <w:rFonts w:hint="default" w:ascii="Times New Roman" w:hAnsi="Times New Roman" w:eastAsia="宋体" w:cs="Times New Roman"/>
                <w:color w:val="auto"/>
                <w:sz w:val="24"/>
                <w:highlight w:val="none"/>
                <w:u w:val="single"/>
                <w:lang w:val="en-US" w:eastAsia="zh-CN"/>
              </w:rPr>
              <w:t>20</w:t>
            </w:r>
            <w:r>
              <w:rPr>
                <w:rFonts w:hint="eastAsia" w:cs="Times New Roman"/>
                <w:color w:val="auto"/>
                <w:sz w:val="24"/>
                <w:highlight w:val="none"/>
                <w:u w:val="single"/>
                <w:lang w:val="en-US" w:eastAsia="zh-CN"/>
              </w:rPr>
              <w:t>24</w:t>
            </w:r>
            <w:r>
              <w:rPr>
                <w:rFonts w:hint="eastAsia" w:ascii="Times New Roman" w:hAnsi="Times New Roman" w:eastAsia="宋体" w:cs="Times New Roman"/>
                <w:color w:val="auto"/>
                <w:sz w:val="24"/>
                <w:highlight w:val="none"/>
                <w:u w:val="single"/>
                <w:lang w:val="en-US" w:eastAsia="zh-CN"/>
              </w:rPr>
              <w:t>年建成投产，依据环政法函[</w:t>
            </w:r>
            <w:r>
              <w:rPr>
                <w:rFonts w:hint="default" w:ascii="Times New Roman" w:hAnsi="Times New Roman" w:eastAsia="宋体" w:cs="Times New Roman"/>
                <w:color w:val="auto"/>
                <w:sz w:val="24"/>
                <w:highlight w:val="none"/>
                <w:u w:val="single"/>
                <w:lang w:val="en-US" w:eastAsia="zh-CN"/>
              </w:rPr>
              <w:t>2018</w:t>
            </w:r>
            <w:r>
              <w:rPr>
                <w:rFonts w:hint="eastAsia" w:ascii="Times New Roman" w:hAnsi="Times New Roman" w:eastAsia="宋体" w:cs="Times New Roman"/>
                <w:color w:val="auto"/>
                <w:sz w:val="24"/>
                <w:highlight w:val="none"/>
                <w:u w:val="single"/>
                <w:lang w:val="en-US" w:eastAsia="zh-CN"/>
              </w:rPr>
              <w:t>]</w:t>
            </w:r>
            <w:r>
              <w:rPr>
                <w:rFonts w:hint="default" w:ascii="Times New Roman" w:hAnsi="Times New Roman" w:eastAsia="宋体" w:cs="Times New Roman"/>
                <w:color w:val="auto"/>
                <w:sz w:val="24"/>
                <w:highlight w:val="none"/>
                <w:u w:val="single"/>
                <w:lang w:val="en-US" w:eastAsia="zh-CN"/>
              </w:rPr>
              <w:t>31</w:t>
            </w:r>
            <w:r>
              <w:rPr>
                <w:rFonts w:hint="eastAsia" w:ascii="Times New Roman" w:hAnsi="Times New Roman" w:eastAsia="宋体" w:cs="Times New Roman"/>
                <w:color w:val="auto"/>
                <w:sz w:val="24"/>
                <w:highlight w:val="none"/>
                <w:u w:val="single"/>
                <w:lang w:val="en-US" w:eastAsia="zh-CN"/>
              </w:rPr>
              <w:t>号《环境保护部关于建设项目“未批先建”违法行为法律适用问题的意见》中行政处罚法第二十九条规定：“违法行为在二年内未被发现的，不再给予行政处罚。”</w:t>
            </w:r>
          </w:p>
        </w:tc>
        <w:tc>
          <w:tcPr>
            <w:tcW w:w="2371"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用地（用海）</w:t>
            </w:r>
          </w:p>
          <w:p>
            <w:pPr>
              <w:adjustRightInd w:val="0"/>
              <w:snapToGrid w:val="0"/>
              <w:jc w:val="center"/>
              <w:rPr>
                <w:color w:val="auto"/>
                <w:sz w:val="24"/>
                <w:highlight w:val="none"/>
              </w:rPr>
            </w:pPr>
            <w:r>
              <w:rPr>
                <w:color w:val="auto"/>
                <w:sz w:val="24"/>
                <w:highlight w:val="none"/>
              </w:rPr>
              <w:t>面积（</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color w:val="auto"/>
                <w:sz w:val="24"/>
                <w:highlight w:val="none"/>
              </w:rPr>
              <w:t>）</w:t>
            </w:r>
          </w:p>
          <w:p>
            <w:pPr>
              <w:rPr>
                <w:highlight w:val="none"/>
              </w:rPr>
            </w:pPr>
          </w:p>
        </w:tc>
        <w:tc>
          <w:tcPr>
            <w:tcW w:w="2838" w:type="dxa"/>
            <w:vAlign w:val="center"/>
          </w:tcPr>
          <w:p>
            <w:pPr>
              <w:adjustRightInd w:val="0"/>
              <w:snapToGrid w:val="0"/>
              <w:jc w:val="center"/>
              <w:rPr>
                <w:rFonts w:hint="default"/>
                <w:color w:val="auto"/>
                <w:sz w:val="24"/>
                <w:highlight w:val="none"/>
                <w:lang w:val="en-US"/>
              </w:rPr>
            </w:pPr>
            <w:r>
              <w:rPr>
                <w:rFonts w:hint="eastAsia" w:cs="Times New Roman"/>
                <w:color w:val="auto"/>
                <w:sz w:val="24"/>
                <w:highlight w:val="none"/>
                <w:lang w:val="en-US" w:eastAsia="zh-CN"/>
              </w:rPr>
              <w:t>7558.86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04" w:hRule="atLeast"/>
          <w:jc w:val="center"/>
        </w:trPr>
        <w:tc>
          <w:tcPr>
            <w:tcW w:w="1968" w:type="dxa"/>
            <w:vAlign w:val="center"/>
          </w:tcPr>
          <w:p>
            <w:pPr>
              <w:autoSpaceDE w:val="0"/>
              <w:autoSpaceDN w:val="0"/>
              <w:adjustRightInd w:val="0"/>
              <w:snapToGrid w:val="0"/>
              <w:jc w:val="center"/>
              <w:rPr>
                <w:color w:val="auto"/>
                <w:kern w:val="0"/>
                <w:sz w:val="24"/>
                <w:highlight w:val="none"/>
              </w:rPr>
            </w:pPr>
            <w:r>
              <w:rPr>
                <w:color w:val="auto"/>
                <w:kern w:val="0"/>
                <w:sz w:val="24"/>
                <w:highlight w:val="none"/>
              </w:rPr>
              <w:t>专项评价</w:t>
            </w:r>
          </w:p>
          <w:p>
            <w:pPr>
              <w:autoSpaceDE w:val="0"/>
              <w:autoSpaceDN w:val="0"/>
              <w:adjustRightInd w:val="0"/>
              <w:snapToGrid w:val="0"/>
              <w:jc w:val="center"/>
              <w:rPr>
                <w:color w:val="auto"/>
                <w:kern w:val="0"/>
                <w:sz w:val="24"/>
                <w:highlight w:val="none"/>
              </w:rPr>
            </w:pPr>
            <w:r>
              <w:rPr>
                <w:color w:val="auto"/>
                <w:kern w:val="0"/>
                <w:sz w:val="24"/>
                <w:highlight w:val="none"/>
              </w:rPr>
              <w:t>设置情况</w:t>
            </w:r>
          </w:p>
        </w:tc>
        <w:tc>
          <w:tcPr>
            <w:tcW w:w="7556" w:type="dxa"/>
            <w:gridSpan w:val="3"/>
            <w:vAlign w:val="center"/>
          </w:tcPr>
          <w:p>
            <w:pPr>
              <w:autoSpaceDE w:val="0"/>
              <w:autoSpaceDN w:val="0"/>
              <w:adjustRightInd w:val="0"/>
              <w:snapToGrid w:val="0"/>
              <w:spacing w:line="360" w:lineRule="auto"/>
              <w:ind w:firstLine="480" w:firstLineChars="200"/>
              <w:rPr>
                <w:rFonts w:hint="eastAsia"/>
                <w:smallCaps w:val="0"/>
                <w:snapToGrid w:val="0"/>
                <w:color w:val="auto"/>
                <w:kern w:val="0"/>
                <w:sz w:val="24"/>
                <w:highlight w:val="none"/>
                <w:lang w:eastAsia="zh-CN"/>
              </w:rPr>
            </w:pPr>
            <w:r>
              <w:rPr>
                <w:rFonts w:ascii="Times New Roman" w:hAnsi="Times New Roman" w:eastAsia="宋体"/>
                <w:smallCaps w:val="0"/>
                <w:snapToGrid w:val="0"/>
                <w:color w:val="auto"/>
                <w:kern w:val="0"/>
                <w:sz w:val="24"/>
                <w:highlight w:val="none"/>
              </w:rPr>
              <w:t>按《建设项目环境影响报告表编制技术指南（污染影响类）（试行）》要求，土壤和声环境不开展专项评价</w:t>
            </w:r>
            <w:r>
              <w:rPr>
                <w:rFonts w:hint="eastAsia"/>
                <w:smallCaps w:val="0"/>
                <w:snapToGrid w:val="0"/>
                <w:color w:val="auto"/>
                <w:kern w:val="0"/>
                <w:sz w:val="24"/>
                <w:highlight w:val="none"/>
                <w:lang w:eastAsia="zh-CN"/>
              </w:rPr>
              <w:t>。</w:t>
            </w:r>
          </w:p>
          <w:p>
            <w:pPr>
              <w:spacing w:line="360" w:lineRule="auto"/>
              <w:ind w:firstLine="480" w:firstLineChars="200"/>
              <w:jc w:val="left"/>
              <w:rPr>
                <w:rFonts w:hint="eastAsia" w:ascii="Times New Roman" w:hAnsi="Times New Roman" w:eastAsia="宋体" w:cs="Times New Roman"/>
                <w:color w:val="auto"/>
                <w:sz w:val="24"/>
                <w:szCs w:val="24"/>
                <w:highlight w:val="none"/>
                <w:lang w:eastAsia="zh-CN"/>
              </w:rPr>
            </w:pPr>
            <w:r>
              <w:rPr>
                <w:rFonts w:ascii="Times New Roman" w:hAnsi="Times New Roman" w:cs="Times New Roman"/>
                <w:color w:val="auto"/>
                <w:sz w:val="24"/>
                <w:szCs w:val="24"/>
                <w:highlight w:val="none"/>
              </w:rPr>
              <w:t>本项目不涉及集中式饮用水水源和热水、矿泉水、温泉等特殊地下水资源保护区，不开展地下水专项评价工作。</w:t>
            </w:r>
          </w:p>
          <w:p>
            <w:pPr>
              <w:autoSpaceDE w:val="0"/>
              <w:autoSpaceDN w:val="0"/>
              <w:adjustRightInd w:val="0"/>
              <w:snapToGrid w:val="0"/>
              <w:spacing w:line="360" w:lineRule="auto"/>
              <w:ind w:firstLine="480" w:firstLineChars="200"/>
              <w:rPr>
                <w:rFonts w:ascii="Times New Roman" w:hAnsi="Times New Roman" w:eastAsia="宋体"/>
                <w:smallCaps w:val="0"/>
                <w:snapToGrid w:val="0"/>
                <w:color w:val="auto"/>
                <w:kern w:val="0"/>
                <w:sz w:val="24"/>
                <w:highlight w:val="none"/>
              </w:rPr>
            </w:pPr>
            <w:r>
              <w:rPr>
                <w:rFonts w:hint="eastAsia" w:ascii="Times New Roman" w:hAnsi="Times New Roman" w:cs="Times New Roman"/>
                <w:color w:val="auto"/>
                <w:sz w:val="24"/>
                <w:szCs w:val="24"/>
                <w:highlight w:val="none"/>
              </w:rPr>
              <w:t>大气、地表水、环境风险、生态和海洋专项评价具体设置原则</w:t>
            </w:r>
            <w:r>
              <w:rPr>
                <w:rFonts w:ascii="Times New Roman" w:hAnsi="Times New Roman" w:eastAsia="宋体"/>
                <w:smallCaps w:val="0"/>
                <w:snapToGrid w:val="0"/>
                <w:color w:val="auto"/>
                <w:kern w:val="0"/>
                <w:sz w:val="24"/>
                <w:highlight w:val="none"/>
              </w:rPr>
              <w:t>见表</w:t>
            </w:r>
            <w:r>
              <w:rPr>
                <w:rFonts w:hint="default" w:ascii="Times New Roman" w:hAnsi="Times New Roman" w:eastAsia="宋体" w:cs="Times New Roman"/>
                <w:smallCaps w:val="0"/>
                <w:snapToGrid w:val="0"/>
                <w:color w:val="auto"/>
                <w:kern w:val="0"/>
                <w:sz w:val="24"/>
                <w:highlight w:val="none"/>
              </w:rPr>
              <w:t>1</w:t>
            </w:r>
            <w:r>
              <w:rPr>
                <w:rFonts w:ascii="Times New Roman" w:hAnsi="Times New Roman" w:eastAsia="宋体"/>
                <w:smallCaps w:val="0"/>
                <w:snapToGrid w:val="0"/>
                <w:color w:val="auto"/>
                <w:kern w:val="0"/>
                <w:sz w:val="24"/>
                <w:highlight w:val="none"/>
              </w:rPr>
              <w:t>-</w:t>
            </w:r>
            <w:r>
              <w:rPr>
                <w:rFonts w:hint="default" w:ascii="Times New Roman" w:hAnsi="Times New Roman" w:eastAsia="宋体" w:cs="Times New Roman"/>
                <w:smallCaps w:val="0"/>
                <w:snapToGrid w:val="0"/>
                <w:color w:val="auto"/>
                <w:kern w:val="0"/>
                <w:sz w:val="24"/>
                <w:highlight w:val="none"/>
              </w:rPr>
              <w:t>1</w:t>
            </w:r>
            <w:r>
              <w:rPr>
                <w:rFonts w:ascii="Times New Roman" w:hAnsi="Times New Roman" w:eastAsia="宋体"/>
                <w:smallCaps w:val="0"/>
                <w:snapToGrid w:val="0"/>
                <w:color w:val="auto"/>
                <w:kern w:val="0"/>
                <w:sz w:val="24"/>
                <w:highlight w:val="none"/>
              </w:rPr>
              <w:t>。</w:t>
            </w:r>
          </w:p>
          <w:p>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ascii="Times New Roman" w:hAnsi="Times New Roman" w:eastAsia="宋体"/>
                <w:smallCaps w:val="0"/>
                <w:color w:val="auto"/>
                <w:highlight w:val="none"/>
              </w:rPr>
            </w:pPr>
            <w:r>
              <w:rPr>
                <w:rFonts w:ascii="Times New Roman" w:hAnsi="Times New Roman" w:eastAsia="宋体"/>
                <w:b/>
                <w:smallCaps w:val="0"/>
                <w:color w:val="auto"/>
                <w:kern w:val="44"/>
                <w:sz w:val="24"/>
                <w:szCs w:val="24"/>
                <w:highlight w:val="none"/>
              </w:rPr>
              <w:t>表</w:t>
            </w:r>
            <w:r>
              <w:rPr>
                <w:rFonts w:hint="default" w:ascii="Times New Roman" w:hAnsi="Times New Roman" w:eastAsia="宋体" w:cs="Times New Roman"/>
                <w:b/>
                <w:smallCaps w:val="0"/>
                <w:color w:val="auto"/>
                <w:kern w:val="44"/>
                <w:sz w:val="24"/>
                <w:szCs w:val="24"/>
                <w:highlight w:val="none"/>
              </w:rPr>
              <w:t>1</w:t>
            </w:r>
            <w:r>
              <w:rPr>
                <w:rFonts w:ascii="Times New Roman" w:hAnsi="Times New Roman" w:eastAsia="宋体"/>
                <w:b/>
                <w:smallCaps w:val="0"/>
                <w:color w:val="auto"/>
                <w:kern w:val="44"/>
                <w:sz w:val="24"/>
                <w:szCs w:val="24"/>
                <w:highlight w:val="none"/>
              </w:rPr>
              <w:t>-</w:t>
            </w:r>
            <w:r>
              <w:rPr>
                <w:rFonts w:hint="default" w:ascii="Times New Roman" w:hAnsi="Times New Roman" w:eastAsia="宋体" w:cs="Times New Roman"/>
                <w:b/>
                <w:smallCaps w:val="0"/>
                <w:color w:val="auto"/>
                <w:kern w:val="44"/>
                <w:sz w:val="24"/>
                <w:szCs w:val="24"/>
                <w:highlight w:val="none"/>
              </w:rPr>
              <w:t>1</w:t>
            </w:r>
            <w:r>
              <w:rPr>
                <w:rFonts w:ascii="Times New Roman" w:hAnsi="Times New Roman" w:eastAsia="宋体"/>
                <w:b/>
                <w:smallCaps w:val="0"/>
                <w:color w:val="auto"/>
                <w:kern w:val="44"/>
                <w:sz w:val="24"/>
                <w:szCs w:val="24"/>
                <w:highlight w:val="none"/>
              </w:rPr>
              <w:t xml:space="preserve"> 专项评价设置情况一览表</w:t>
            </w:r>
          </w:p>
          <w:tbl>
            <w:tblPr>
              <w:tblStyle w:val="32"/>
              <w:tblW w:w="7340" w:type="dxa"/>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2507"/>
              <w:gridCol w:w="3747"/>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1086" w:type="dxa"/>
                  <w:noWrap w:val="0"/>
                  <w:vAlign w:val="center"/>
                </w:tcPr>
                <w:p>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专项评价类别</w:t>
                  </w:r>
                </w:p>
              </w:tc>
              <w:tc>
                <w:tcPr>
                  <w:tcW w:w="2507" w:type="dxa"/>
                  <w:noWrap w:val="0"/>
                  <w:vAlign w:val="center"/>
                </w:tcPr>
                <w:p>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设置原则</w:t>
                  </w:r>
                </w:p>
              </w:tc>
              <w:tc>
                <w:tcPr>
                  <w:tcW w:w="3747" w:type="dxa"/>
                  <w:noWrap w:val="0"/>
                  <w:vAlign w:val="center"/>
                </w:tcPr>
                <w:p>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本项目设置情况</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1086" w:type="dxa"/>
                  <w:noWrap w:val="0"/>
                  <w:vAlign w:val="center"/>
                </w:tcPr>
                <w:p>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大气</w:t>
                  </w:r>
                </w:p>
              </w:tc>
              <w:tc>
                <w:tcPr>
                  <w:tcW w:w="2507" w:type="dxa"/>
                  <w:noWrap w:val="0"/>
                  <w:vAlign w:val="center"/>
                </w:tcPr>
                <w:p>
                  <w:pPr>
                    <w:jc w:val="left"/>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排放废气含有毒有害污染物，二噁英、苯并[</w:t>
                  </w:r>
                  <w:r>
                    <w:rPr>
                      <w:rFonts w:hint="default" w:ascii="Times New Roman" w:hAnsi="Times New Roman" w:eastAsia="宋体" w:cs="Times New Roman"/>
                      <w:smallCaps w:val="0"/>
                      <w:snapToGrid w:val="0"/>
                      <w:color w:val="auto"/>
                      <w:kern w:val="0"/>
                      <w:szCs w:val="21"/>
                      <w:highlight w:val="none"/>
                    </w:rPr>
                    <w:t>a</w:t>
                  </w:r>
                  <w:r>
                    <w:rPr>
                      <w:rFonts w:ascii="Times New Roman" w:hAnsi="Times New Roman" w:eastAsia="宋体"/>
                      <w:smallCaps w:val="0"/>
                      <w:snapToGrid w:val="0"/>
                      <w:color w:val="auto"/>
                      <w:kern w:val="0"/>
                      <w:szCs w:val="21"/>
                      <w:highlight w:val="none"/>
                    </w:rPr>
                    <w:t>]芘、氰化物、氯气且厂界外</w:t>
                  </w:r>
                  <w:r>
                    <w:rPr>
                      <w:rFonts w:hint="default" w:ascii="Times New Roman" w:hAnsi="Times New Roman" w:eastAsia="宋体" w:cs="Times New Roman"/>
                      <w:smallCaps w:val="0"/>
                      <w:snapToGrid w:val="0"/>
                      <w:color w:val="auto"/>
                      <w:kern w:val="0"/>
                      <w:szCs w:val="21"/>
                      <w:highlight w:val="none"/>
                    </w:rPr>
                    <w:t>500m</w:t>
                  </w:r>
                  <w:r>
                    <w:rPr>
                      <w:rFonts w:ascii="Times New Roman" w:hAnsi="Times New Roman" w:eastAsia="宋体"/>
                      <w:smallCaps w:val="0"/>
                      <w:snapToGrid w:val="0"/>
                      <w:color w:val="auto"/>
                      <w:kern w:val="0"/>
                      <w:szCs w:val="21"/>
                      <w:highlight w:val="none"/>
                    </w:rPr>
                    <w:t>范围内有环境空气保护目标的建设项目</w:t>
                  </w:r>
                </w:p>
              </w:tc>
              <w:tc>
                <w:tcPr>
                  <w:tcW w:w="3747" w:type="dxa"/>
                  <w:noWrap w:val="0"/>
                  <w:vAlign w:val="center"/>
                </w:tcPr>
                <w:p>
                  <w:pPr>
                    <w:jc w:val="both"/>
                    <w:textAlignment w:val="baseline"/>
                    <w:rPr>
                      <w:rFonts w:ascii="Times New Roman" w:hAnsi="Times New Roman" w:eastAsia="宋体"/>
                      <w:smallCaps w:val="0"/>
                      <w:snapToGrid w:val="0"/>
                      <w:color w:val="auto"/>
                      <w:kern w:val="0"/>
                      <w:szCs w:val="21"/>
                      <w:highlight w:val="none"/>
                    </w:rPr>
                  </w:pPr>
                  <w:r>
                    <w:rPr>
                      <w:rFonts w:hint="eastAsia"/>
                      <w:color w:val="auto"/>
                      <w:sz w:val="21"/>
                      <w:szCs w:val="21"/>
                      <w:highlight w:val="none"/>
                    </w:rPr>
                    <w:t>本项目排放废气中不含有毒有害污染物、二噁英、苯并[</w:t>
                  </w:r>
                  <w:r>
                    <w:rPr>
                      <w:rFonts w:hint="default" w:ascii="Times New Roman" w:hAnsi="Times New Roman" w:cs="Times New Roman"/>
                      <w:color w:val="auto"/>
                      <w:sz w:val="21"/>
                      <w:szCs w:val="21"/>
                      <w:highlight w:val="none"/>
                    </w:rPr>
                    <w:t>a</w:t>
                  </w:r>
                  <w:r>
                    <w:rPr>
                      <w:rFonts w:hint="eastAsia"/>
                      <w:color w:val="auto"/>
                      <w:sz w:val="21"/>
                      <w:szCs w:val="21"/>
                      <w:highlight w:val="none"/>
                    </w:rPr>
                    <w:t>]芘、氰化物、氯气</w:t>
                  </w:r>
                  <w:r>
                    <w:rPr>
                      <w:rFonts w:hint="eastAsia"/>
                      <w:color w:val="auto"/>
                      <w:sz w:val="21"/>
                      <w:szCs w:val="21"/>
                      <w:highlight w:val="none"/>
                      <w:lang w:eastAsia="zh-CN"/>
                    </w:rPr>
                    <w:t>；</w:t>
                  </w:r>
                  <w:r>
                    <w:rPr>
                      <w:rFonts w:ascii="Times New Roman" w:hAnsi="Times New Roman" w:eastAsia="宋体" w:cs="Times New Roman"/>
                      <w:smallCaps w:val="0"/>
                      <w:snapToGrid w:val="0"/>
                      <w:color w:val="auto"/>
                      <w:kern w:val="0"/>
                      <w:szCs w:val="21"/>
                      <w:highlight w:val="none"/>
                    </w:rPr>
                    <w:t>不需设置大气专项评价。</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1086" w:type="dxa"/>
                  <w:noWrap w:val="0"/>
                  <w:vAlign w:val="center"/>
                </w:tcPr>
                <w:p>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地表水</w:t>
                  </w:r>
                </w:p>
              </w:tc>
              <w:tc>
                <w:tcPr>
                  <w:tcW w:w="2507" w:type="dxa"/>
                  <w:noWrap w:val="0"/>
                  <w:vAlign w:val="center"/>
                </w:tcPr>
                <w:p>
                  <w:pPr>
                    <w:jc w:val="left"/>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新增工业废水直排建设项目（槽罐车外送污水处理厂的除外）；新增废水直排的污水集中处理厂</w:t>
                  </w:r>
                </w:p>
              </w:tc>
              <w:tc>
                <w:tcPr>
                  <w:tcW w:w="3747" w:type="dxa"/>
                  <w:noWrap w:val="0"/>
                  <w:vAlign w:val="center"/>
                </w:tcPr>
                <w:p>
                  <w:pPr>
                    <w:jc w:val="left"/>
                    <w:textAlignment w:val="baseline"/>
                    <w:rPr>
                      <w:rFonts w:ascii="Times New Roman" w:hAnsi="Times New Roman" w:eastAsia="宋体"/>
                      <w:smallCaps w:val="0"/>
                      <w:snapToGrid w:val="0"/>
                      <w:color w:val="auto"/>
                      <w:kern w:val="0"/>
                      <w:szCs w:val="21"/>
                      <w:highlight w:val="none"/>
                    </w:rPr>
                  </w:pPr>
                  <w:r>
                    <w:rPr>
                      <w:rFonts w:hint="eastAsia" w:ascii="Times New Roman" w:hAnsi="Times New Roman"/>
                      <w:smallCaps w:val="0"/>
                      <w:snapToGrid w:val="0"/>
                      <w:color w:val="auto"/>
                      <w:kern w:val="0"/>
                      <w:szCs w:val="21"/>
                      <w:highlight w:val="none"/>
                      <w:lang w:val="en-US" w:eastAsia="zh-CN"/>
                    </w:rPr>
                    <w:t>生活污水排入防渗旱厕，定期清掏外运堆肥。</w:t>
                  </w:r>
                  <w:r>
                    <w:rPr>
                      <w:rFonts w:ascii="Times New Roman" w:hAnsi="Times New Roman" w:eastAsia="宋体"/>
                      <w:smallCaps w:val="0"/>
                      <w:snapToGrid w:val="0"/>
                      <w:color w:val="auto"/>
                      <w:kern w:val="0"/>
                      <w:szCs w:val="21"/>
                      <w:highlight w:val="none"/>
                    </w:rPr>
                    <w:t>不需设置地表水专项评价。</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1086" w:type="dxa"/>
                  <w:noWrap w:val="0"/>
                  <w:vAlign w:val="center"/>
                </w:tcPr>
                <w:p>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环境</w:t>
                  </w:r>
                </w:p>
                <w:p>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风险</w:t>
                  </w:r>
                </w:p>
              </w:tc>
              <w:tc>
                <w:tcPr>
                  <w:tcW w:w="2507" w:type="dxa"/>
                  <w:noWrap w:val="0"/>
                  <w:vAlign w:val="center"/>
                </w:tcPr>
                <w:p>
                  <w:pPr>
                    <w:jc w:val="left"/>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有毒有害和易燃易爆危险物质存储量超过临界量的建设项目</w:t>
                  </w:r>
                </w:p>
              </w:tc>
              <w:tc>
                <w:tcPr>
                  <w:tcW w:w="3747" w:type="dxa"/>
                  <w:noWrap w:val="0"/>
                  <w:vAlign w:val="center"/>
                </w:tcPr>
                <w:p>
                  <w:pPr>
                    <w:jc w:val="left"/>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根据《建设项目环境影响报告表编制技术指南（污染影响类）（试行）》，本项目不</w:t>
                  </w:r>
                  <w:r>
                    <w:rPr>
                      <w:rFonts w:hint="eastAsia"/>
                      <w:smallCaps w:val="0"/>
                      <w:snapToGrid w:val="0"/>
                      <w:color w:val="auto"/>
                      <w:kern w:val="0"/>
                      <w:szCs w:val="21"/>
                      <w:highlight w:val="none"/>
                      <w:lang w:val="en-US" w:eastAsia="zh-CN"/>
                    </w:rPr>
                    <w:t>使用</w:t>
                  </w:r>
                  <w:r>
                    <w:rPr>
                      <w:rFonts w:hint="eastAsia" w:ascii="Times New Roman" w:hAnsi="Times New Roman" w:eastAsia="宋体"/>
                      <w:smallCaps w:val="0"/>
                      <w:snapToGrid w:val="0"/>
                      <w:color w:val="auto"/>
                      <w:kern w:val="0"/>
                      <w:szCs w:val="21"/>
                      <w:highlight w:val="none"/>
                      <w:lang w:eastAsia="zh-CN"/>
                    </w:rPr>
                    <w:t>《建设项目环境风险评价技术导则》（</w:t>
                  </w:r>
                  <w:r>
                    <w:rPr>
                      <w:rFonts w:hint="default" w:ascii="Times New Roman" w:hAnsi="Times New Roman" w:eastAsia="宋体" w:cs="Times New Roman"/>
                      <w:smallCaps w:val="0"/>
                      <w:snapToGrid w:val="0"/>
                      <w:color w:val="auto"/>
                      <w:kern w:val="0"/>
                      <w:szCs w:val="21"/>
                      <w:highlight w:val="none"/>
                      <w:lang w:val="en-US" w:eastAsia="zh-CN"/>
                    </w:rPr>
                    <w:t>HJ169</w:t>
                  </w:r>
                  <w:r>
                    <w:rPr>
                      <w:rFonts w:hint="eastAsia" w:ascii="Times New Roman" w:hAnsi="Times New Roman" w:eastAsia="宋体"/>
                      <w:smallCaps w:val="0"/>
                      <w:snapToGrid w:val="0"/>
                      <w:color w:val="auto"/>
                      <w:kern w:val="0"/>
                      <w:szCs w:val="21"/>
                      <w:highlight w:val="none"/>
                      <w:lang w:val="en-US" w:eastAsia="zh-CN"/>
                    </w:rPr>
                    <w:t>-</w:t>
                  </w:r>
                  <w:r>
                    <w:rPr>
                      <w:rFonts w:hint="default" w:ascii="Times New Roman" w:hAnsi="Times New Roman" w:eastAsia="宋体" w:cs="Times New Roman"/>
                      <w:smallCaps w:val="0"/>
                      <w:snapToGrid w:val="0"/>
                      <w:color w:val="auto"/>
                      <w:kern w:val="0"/>
                      <w:szCs w:val="21"/>
                      <w:highlight w:val="none"/>
                      <w:lang w:val="en-US" w:eastAsia="zh-CN"/>
                    </w:rPr>
                    <w:t>2018</w:t>
                  </w:r>
                  <w:r>
                    <w:rPr>
                      <w:rFonts w:hint="eastAsia" w:ascii="Times New Roman" w:hAnsi="Times New Roman" w:eastAsia="宋体"/>
                      <w:smallCaps w:val="0"/>
                      <w:snapToGrid w:val="0"/>
                      <w:color w:val="auto"/>
                      <w:kern w:val="0"/>
                      <w:szCs w:val="21"/>
                      <w:highlight w:val="none"/>
                      <w:lang w:eastAsia="zh-CN"/>
                    </w:rPr>
                    <w:t>）附录</w:t>
                  </w:r>
                  <w:r>
                    <w:rPr>
                      <w:rFonts w:hint="default" w:ascii="Times New Roman" w:hAnsi="Times New Roman" w:eastAsia="宋体" w:cs="Times New Roman"/>
                      <w:smallCaps w:val="0"/>
                      <w:snapToGrid w:val="0"/>
                      <w:color w:val="auto"/>
                      <w:kern w:val="0"/>
                      <w:szCs w:val="21"/>
                      <w:highlight w:val="none"/>
                      <w:lang w:val="en-US" w:eastAsia="zh-CN"/>
                    </w:rPr>
                    <w:t>B</w:t>
                  </w:r>
                  <w:r>
                    <w:rPr>
                      <w:rFonts w:hint="eastAsia" w:ascii="Times New Roman" w:hAnsi="Times New Roman" w:eastAsia="宋体"/>
                      <w:smallCaps w:val="0"/>
                      <w:snapToGrid w:val="0"/>
                      <w:color w:val="auto"/>
                      <w:kern w:val="0"/>
                      <w:szCs w:val="21"/>
                      <w:highlight w:val="none"/>
                      <w:lang w:val="en-US" w:eastAsia="zh-CN"/>
                    </w:rPr>
                    <w:t>中</w:t>
                  </w:r>
                  <w:r>
                    <w:rPr>
                      <w:rFonts w:ascii="Times New Roman" w:hAnsi="Times New Roman" w:eastAsia="宋体"/>
                      <w:smallCaps w:val="0"/>
                      <w:snapToGrid w:val="0"/>
                      <w:color w:val="auto"/>
                      <w:kern w:val="0"/>
                      <w:szCs w:val="21"/>
                      <w:highlight w:val="none"/>
                    </w:rPr>
                    <w:t>有毒有害和易燃易爆危险物质，因此不需设置环境风险专项评价。</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1086" w:type="dxa"/>
                  <w:noWrap w:val="0"/>
                  <w:vAlign w:val="center"/>
                </w:tcPr>
                <w:p>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生态</w:t>
                  </w:r>
                </w:p>
              </w:tc>
              <w:tc>
                <w:tcPr>
                  <w:tcW w:w="2507" w:type="dxa"/>
                  <w:noWrap w:val="0"/>
                  <w:vAlign w:val="center"/>
                </w:tcPr>
                <w:p>
                  <w:pPr>
                    <w:jc w:val="left"/>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取水口下游</w:t>
                  </w:r>
                  <w:r>
                    <w:rPr>
                      <w:rFonts w:hint="default" w:ascii="Times New Roman" w:hAnsi="Times New Roman" w:eastAsia="宋体" w:cs="Times New Roman"/>
                      <w:smallCaps w:val="0"/>
                      <w:snapToGrid w:val="0"/>
                      <w:color w:val="auto"/>
                      <w:kern w:val="0"/>
                      <w:szCs w:val="21"/>
                      <w:highlight w:val="none"/>
                    </w:rPr>
                    <w:t>500m</w:t>
                  </w:r>
                  <w:r>
                    <w:rPr>
                      <w:rFonts w:ascii="Times New Roman" w:hAnsi="Times New Roman" w:eastAsia="宋体"/>
                      <w:smallCaps w:val="0"/>
                      <w:snapToGrid w:val="0"/>
                      <w:color w:val="auto"/>
                      <w:kern w:val="0"/>
                      <w:szCs w:val="21"/>
                      <w:highlight w:val="none"/>
                    </w:rPr>
                    <w:t>范围内有重要水生生物的自然产卵场、索饵场、越冬场和洄游通道的新增河道取水的污染类建设项目</w:t>
                  </w:r>
                </w:p>
              </w:tc>
              <w:tc>
                <w:tcPr>
                  <w:tcW w:w="3747" w:type="dxa"/>
                  <w:noWrap w:val="0"/>
                  <w:vAlign w:val="center"/>
                </w:tcPr>
                <w:p>
                  <w:pPr>
                    <w:jc w:val="left"/>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本项目不涉及河道取水，不需设置。</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1086" w:type="dxa"/>
                  <w:noWrap w:val="0"/>
                  <w:vAlign w:val="center"/>
                </w:tcPr>
                <w:p>
                  <w:pPr>
                    <w:jc w:val="center"/>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海洋</w:t>
                  </w:r>
                </w:p>
              </w:tc>
              <w:tc>
                <w:tcPr>
                  <w:tcW w:w="2507" w:type="dxa"/>
                  <w:noWrap w:val="0"/>
                  <w:vAlign w:val="center"/>
                </w:tcPr>
                <w:p>
                  <w:pPr>
                    <w:jc w:val="left"/>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直接向海洋排放污染物的海洋工程建设项目</w:t>
                  </w:r>
                </w:p>
              </w:tc>
              <w:tc>
                <w:tcPr>
                  <w:tcW w:w="3747" w:type="dxa"/>
                  <w:noWrap w:val="0"/>
                  <w:vAlign w:val="center"/>
                </w:tcPr>
                <w:p>
                  <w:pPr>
                    <w:jc w:val="left"/>
                    <w:textAlignment w:val="baseline"/>
                    <w:rPr>
                      <w:rFonts w:ascii="Times New Roman" w:hAnsi="Times New Roman" w:eastAsia="宋体"/>
                      <w:smallCaps w:val="0"/>
                      <w:snapToGrid w:val="0"/>
                      <w:color w:val="auto"/>
                      <w:kern w:val="0"/>
                      <w:szCs w:val="21"/>
                      <w:highlight w:val="none"/>
                    </w:rPr>
                  </w:pPr>
                  <w:r>
                    <w:rPr>
                      <w:rFonts w:ascii="Times New Roman" w:hAnsi="Times New Roman" w:eastAsia="宋体"/>
                      <w:smallCaps w:val="0"/>
                      <w:snapToGrid w:val="0"/>
                      <w:color w:val="auto"/>
                      <w:kern w:val="0"/>
                      <w:szCs w:val="21"/>
                      <w:highlight w:val="none"/>
                    </w:rPr>
                    <w:t>本项目不涉及海洋，不需设置。</w:t>
                  </w:r>
                </w:p>
              </w:tc>
            </w:tr>
          </w:tbl>
          <w:p>
            <w:pPr>
              <w:autoSpaceDE w:val="0"/>
              <w:autoSpaceDN w:val="0"/>
              <w:adjustRightInd w:val="0"/>
              <w:snapToGrid w:val="0"/>
              <w:spacing w:line="360" w:lineRule="auto"/>
              <w:ind w:firstLine="480" w:firstLineChars="200"/>
              <w:rPr>
                <w:rFonts w:hint="eastAsia" w:eastAsia="宋体"/>
                <w:color w:val="auto"/>
                <w:kern w:val="0"/>
                <w:sz w:val="24"/>
                <w:highlight w:val="none"/>
                <w:lang w:eastAsia="zh-CN"/>
              </w:rPr>
            </w:pPr>
            <w:r>
              <w:rPr>
                <w:rFonts w:hint="default" w:ascii="Times New Roman" w:hAnsi="Times New Roman" w:eastAsia="宋体" w:cs="Times New Roman"/>
                <w:color w:val="auto"/>
                <w:kern w:val="0"/>
                <w:sz w:val="24"/>
                <w:highlight w:val="none"/>
              </w:rPr>
              <w:t>根据上表分析可知，本项目无需开展专项评价工作。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1968" w:type="dxa"/>
            <w:vAlign w:val="center"/>
          </w:tcPr>
          <w:p>
            <w:pPr>
              <w:autoSpaceDE w:val="0"/>
              <w:autoSpaceDN w:val="0"/>
              <w:adjustRightInd w:val="0"/>
              <w:snapToGrid w:val="0"/>
              <w:jc w:val="center"/>
              <w:rPr>
                <w:color w:val="auto"/>
                <w:kern w:val="0"/>
                <w:szCs w:val="21"/>
                <w:highlight w:val="none"/>
              </w:rPr>
            </w:pPr>
            <w:r>
              <w:rPr>
                <w:color w:val="auto"/>
                <w:kern w:val="0"/>
                <w:sz w:val="24"/>
                <w:highlight w:val="none"/>
              </w:rPr>
              <w:t>规划情况</w:t>
            </w:r>
          </w:p>
        </w:tc>
        <w:tc>
          <w:tcPr>
            <w:tcW w:w="7556" w:type="dxa"/>
            <w:gridSpan w:val="3"/>
            <w:vAlign w:val="center"/>
          </w:tcPr>
          <w:p>
            <w:pPr>
              <w:autoSpaceDE w:val="0"/>
              <w:autoSpaceDN w:val="0"/>
              <w:adjustRightInd w:val="0"/>
              <w:snapToGrid w:val="0"/>
              <w:jc w:val="center"/>
              <w:rPr>
                <w:color w:val="auto"/>
                <w:kern w:val="0"/>
                <w:szCs w:val="21"/>
                <w:highlight w:val="none"/>
              </w:rPr>
            </w:pPr>
            <w:r>
              <w:rPr>
                <w:color w:val="auto"/>
                <w:kern w:val="0"/>
                <w:sz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68" w:type="dxa"/>
            <w:vAlign w:val="center"/>
          </w:tcPr>
          <w:p>
            <w:pPr>
              <w:adjustRightInd w:val="0"/>
              <w:snapToGrid w:val="0"/>
              <w:jc w:val="center"/>
              <w:rPr>
                <w:color w:val="auto"/>
                <w:sz w:val="24"/>
                <w:highlight w:val="none"/>
              </w:rPr>
            </w:pPr>
            <w:r>
              <w:rPr>
                <w:color w:val="auto"/>
                <w:sz w:val="24"/>
                <w:highlight w:val="none"/>
              </w:rPr>
              <w:t>规划环境影响</w:t>
            </w:r>
          </w:p>
          <w:p>
            <w:pPr>
              <w:adjustRightInd w:val="0"/>
              <w:snapToGrid w:val="0"/>
              <w:jc w:val="center"/>
              <w:rPr>
                <w:color w:val="auto"/>
                <w:kern w:val="0"/>
                <w:sz w:val="24"/>
                <w:highlight w:val="none"/>
              </w:rPr>
            </w:pPr>
            <w:r>
              <w:rPr>
                <w:color w:val="auto"/>
                <w:sz w:val="24"/>
                <w:highlight w:val="none"/>
              </w:rPr>
              <w:t>评价情况</w:t>
            </w:r>
          </w:p>
        </w:tc>
        <w:tc>
          <w:tcPr>
            <w:tcW w:w="7556" w:type="dxa"/>
            <w:gridSpan w:val="3"/>
            <w:vAlign w:val="center"/>
          </w:tcPr>
          <w:p>
            <w:pPr>
              <w:autoSpaceDE w:val="0"/>
              <w:autoSpaceDN w:val="0"/>
              <w:adjustRightInd w:val="0"/>
              <w:snapToGrid w:val="0"/>
              <w:jc w:val="center"/>
              <w:rPr>
                <w:color w:val="auto"/>
                <w:kern w:val="0"/>
                <w:sz w:val="24"/>
                <w:highlight w:val="none"/>
              </w:rPr>
            </w:pPr>
            <w:r>
              <w:rPr>
                <w:color w:val="auto"/>
                <w:kern w:val="0"/>
                <w:sz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68" w:type="dxa"/>
            <w:vAlign w:val="center"/>
          </w:tcPr>
          <w:p>
            <w:pPr>
              <w:autoSpaceDE w:val="0"/>
              <w:autoSpaceDN w:val="0"/>
              <w:adjustRightInd w:val="0"/>
              <w:snapToGrid w:val="0"/>
              <w:jc w:val="center"/>
              <w:rPr>
                <w:color w:val="auto"/>
                <w:kern w:val="0"/>
                <w:sz w:val="24"/>
                <w:highlight w:val="none"/>
              </w:rPr>
            </w:pPr>
            <w:r>
              <w:rPr>
                <w:color w:val="auto"/>
                <w:kern w:val="0"/>
                <w:sz w:val="24"/>
                <w:highlight w:val="none"/>
              </w:rPr>
              <w:t>规划及规划环境影响评价符合性分析</w:t>
            </w:r>
          </w:p>
        </w:tc>
        <w:tc>
          <w:tcPr>
            <w:tcW w:w="7556" w:type="dxa"/>
            <w:gridSpan w:val="3"/>
            <w:vAlign w:val="center"/>
          </w:tcPr>
          <w:p>
            <w:pPr>
              <w:autoSpaceDE w:val="0"/>
              <w:autoSpaceDN w:val="0"/>
              <w:adjustRightInd w:val="0"/>
              <w:snapToGrid w:val="0"/>
              <w:jc w:val="center"/>
              <w:rPr>
                <w:color w:val="auto"/>
                <w:kern w:val="0"/>
                <w:sz w:val="24"/>
                <w:highlight w:val="none"/>
              </w:rPr>
            </w:pPr>
            <w:r>
              <w:rPr>
                <w:color w:val="auto"/>
                <w:kern w:val="0"/>
                <w:sz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68" w:type="dxa"/>
            <w:vAlign w:val="center"/>
          </w:tcPr>
          <w:p>
            <w:pPr>
              <w:autoSpaceDE w:val="0"/>
              <w:autoSpaceDN w:val="0"/>
              <w:adjustRightInd w:val="0"/>
              <w:snapToGrid w:val="0"/>
              <w:jc w:val="center"/>
              <w:rPr>
                <w:b/>
                <w:bCs/>
                <w:color w:val="auto"/>
                <w:kern w:val="0"/>
                <w:sz w:val="24"/>
                <w:highlight w:val="none"/>
              </w:rPr>
            </w:pPr>
            <w:r>
              <w:rPr>
                <w:b/>
                <w:bCs/>
                <w:color w:val="auto"/>
                <w:kern w:val="0"/>
                <w:sz w:val="24"/>
                <w:highlight w:val="none"/>
              </w:rPr>
              <w:t>其他符合性分析</w:t>
            </w:r>
          </w:p>
        </w:tc>
        <w:tc>
          <w:tcPr>
            <w:tcW w:w="7556" w:type="dxa"/>
            <w:gridSpan w:val="3"/>
          </w:tcPr>
          <w:p>
            <w:pPr>
              <w:keepNext w:val="0"/>
              <w:keepLines w:val="0"/>
              <w:pageBreakBefore w:val="0"/>
              <w:kinsoku/>
              <w:wordWrap/>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val="en-US" w:eastAsia="zh-CN"/>
              </w:rPr>
              <w:t>、产业政策符合性分析</w:t>
            </w:r>
          </w:p>
          <w:p>
            <w:pPr>
              <w:pStyle w:val="12"/>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hint="default" w:ascii="Times New Roman" w:hAnsi="Times New Roman" w:eastAsia="宋体" w:cs="Times New Roman"/>
                <w:color w:val="auto"/>
                <w:kern w:val="0"/>
                <w:sz w:val="24"/>
                <w:szCs w:val="21"/>
                <w:highlight w:val="none"/>
                <w:lang w:eastAsia="zh-CN"/>
              </w:rPr>
            </w:pPr>
            <w:r>
              <w:rPr>
                <w:rFonts w:hint="default" w:ascii="Times New Roman" w:hAnsi="Times New Roman" w:eastAsia="宋体" w:cs="Times New Roman"/>
                <w:iCs/>
                <w:caps w:val="0"/>
                <w:smallCaps w:val="0"/>
                <w:color w:val="auto"/>
                <w:spacing w:val="0"/>
                <w:sz w:val="24"/>
                <w:szCs w:val="24"/>
                <w:highlight w:val="none"/>
              </w:rPr>
              <w:t>根据《产业结构调整指导目录（20</w:t>
            </w:r>
            <w:r>
              <w:rPr>
                <w:rFonts w:hint="default" w:ascii="Times New Roman" w:hAnsi="Times New Roman" w:eastAsia="宋体" w:cs="Times New Roman"/>
                <w:iCs/>
                <w:caps w:val="0"/>
                <w:smallCaps w:val="0"/>
                <w:color w:val="auto"/>
                <w:spacing w:val="0"/>
                <w:sz w:val="24"/>
                <w:szCs w:val="24"/>
                <w:highlight w:val="none"/>
                <w:lang w:val="en-US" w:eastAsia="zh-CN"/>
              </w:rPr>
              <w:t>24</w:t>
            </w:r>
            <w:r>
              <w:rPr>
                <w:rFonts w:hint="default" w:ascii="Times New Roman" w:hAnsi="Times New Roman" w:eastAsia="宋体" w:cs="Times New Roman"/>
                <w:iCs/>
                <w:caps w:val="0"/>
                <w:smallCaps w:val="0"/>
                <w:color w:val="auto"/>
                <w:spacing w:val="0"/>
                <w:sz w:val="24"/>
                <w:szCs w:val="24"/>
                <w:highlight w:val="none"/>
              </w:rPr>
              <w:t>年本）》，本项目</w:t>
            </w:r>
            <w:r>
              <w:rPr>
                <w:rFonts w:hint="default" w:ascii="Times New Roman" w:hAnsi="Times New Roman" w:eastAsia="宋体" w:cs="Times New Roman"/>
                <w:b w:val="0"/>
                <w:bCs/>
                <w:color w:val="auto"/>
                <w:kern w:val="2"/>
                <w:sz w:val="24"/>
                <w:szCs w:val="24"/>
                <w:highlight w:val="none"/>
                <w:lang w:val="en-US" w:eastAsia="zh-CN" w:bidi="ar-SA"/>
              </w:rPr>
              <w:t>不属于鼓励类、限制类、淘汰类，</w:t>
            </w:r>
            <w:r>
              <w:rPr>
                <w:rFonts w:hint="eastAsia" w:ascii="Times New Roman" w:hAnsi="Times New Roman" w:eastAsia="宋体" w:cs="Times New Roman"/>
                <w:b w:val="0"/>
                <w:bCs/>
                <w:color w:val="auto"/>
                <w:kern w:val="2"/>
                <w:sz w:val="24"/>
                <w:szCs w:val="24"/>
                <w:highlight w:val="none"/>
                <w:lang w:val="en-US" w:eastAsia="zh-CN" w:bidi="ar-SA"/>
              </w:rPr>
              <w:t>为</w:t>
            </w:r>
            <w:r>
              <w:rPr>
                <w:rFonts w:hint="default" w:ascii="Times New Roman" w:hAnsi="Times New Roman" w:eastAsia="宋体" w:cs="Times New Roman"/>
                <w:b w:val="0"/>
                <w:bCs/>
                <w:color w:val="auto"/>
                <w:kern w:val="2"/>
                <w:sz w:val="24"/>
                <w:szCs w:val="24"/>
                <w:highlight w:val="none"/>
                <w:lang w:val="en-US" w:eastAsia="zh-CN" w:bidi="ar-SA"/>
              </w:rPr>
              <w:t>允许类建设项目</w:t>
            </w:r>
            <w:r>
              <w:rPr>
                <w:rFonts w:hint="default" w:ascii="Times New Roman" w:hAnsi="Times New Roman" w:eastAsia="宋体" w:cs="Times New Roman"/>
                <w:b w:val="0"/>
                <w:bCs w:val="0"/>
                <w:color w:val="auto"/>
                <w:kern w:val="0"/>
                <w:sz w:val="24"/>
                <w:szCs w:val="24"/>
                <w:lang w:eastAsia="zh-CN"/>
              </w:rPr>
              <w:t>；</w:t>
            </w:r>
            <w:r>
              <w:rPr>
                <w:rFonts w:hint="eastAsia"/>
                <w:color w:val="auto"/>
                <w:kern w:val="0"/>
                <w:sz w:val="24"/>
                <w:szCs w:val="24"/>
                <w:highlight w:val="none"/>
                <w:lang w:val="en-US" w:eastAsia="zh-CN"/>
              </w:rPr>
              <w:t>因此本项目符合国家产业政策相关要求</w:t>
            </w:r>
            <w:r>
              <w:rPr>
                <w:rFonts w:hint="eastAsia"/>
                <w:color w:val="auto"/>
                <w:kern w:val="0"/>
                <w:sz w:val="24"/>
                <w:szCs w:val="24"/>
                <w:highlight w:val="none"/>
                <w:lang w:eastAsia="zh-CN"/>
              </w:rPr>
              <w:t>。</w:t>
            </w:r>
          </w:p>
          <w:p>
            <w:pPr>
              <w:keepNext w:val="0"/>
              <w:keepLines w:val="0"/>
              <w:pageBreakBefore w:val="0"/>
              <w:kinsoku/>
              <w:wordWrap/>
              <w:overflowPunct/>
              <w:topLinePunct w:val="0"/>
              <w:autoSpaceDE w:val="0"/>
              <w:autoSpaceDN w:val="0"/>
              <w:bidi w:val="0"/>
              <w:adjustRightInd/>
              <w:snapToGrid/>
              <w:spacing w:line="360" w:lineRule="auto"/>
              <w:ind w:firstLine="482" w:firstLineChars="200"/>
              <w:textAlignment w:val="auto"/>
              <w:rPr>
                <w:b/>
                <w:color w:val="auto"/>
                <w:sz w:val="24"/>
                <w:highlight w:val="none"/>
              </w:rPr>
            </w:pPr>
            <w:r>
              <w:rPr>
                <w:rFonts w:hint="default" w:ascii="Times New Roman" w:hAnsi="Times New Roman" w:cs="Times New Roman"/>
                <w:b/>
                <w:bCs/>
                <w:color w:val="auto"/>
                <w:kern w:val="0"/>
                <w:sz w:val="24"/>
                <w:highlight w:val="none"/>
                <w:lang w:val="en-US" w:eastAsia="zh-CN"/>
              </w:rPr>
              <w:t>2</w:t>
            </w:r>
            <w:r>
              <w:rPr>
                <w:b/>
                <w:bCs/>
                <w:color w:val="auto"/>
                <w:kern w:val="0"/>
                <w:sz w:val="24"/>
                <w:highlight w:val="none"/>
              </w:rPr>
              <w:t>、</w:t>
            </w:r>
            <w:r>
              <w:rPr>
                <w:rFonts w:ascii="Times New Roman" w:hAnsi="Times New Roman" w:cs="Times New Roman"/>
                <w:b/>
                <w:bCs/>
                <w:color w:val="auto"/>
                <w:sz w:val="24"/>
                <w:szCs w:val="24"/>
                <w:highlight w:val="none"/>
              </w:rPr>
              <w:t>与</w:t>
            </w:r>
            <w:r>
              <w:rPr>
                <w:rFonts w:hint="eastAsia" w:ascii="Times New Roman" w:hAnsi="Times New Roman" w:cs="Times New Roman"/>
                <w:b/>
                <w:bCs/>
                <w:color w:val="auto"/>
                <w:sz w:val="24"/>
                <w:szCs w:val="24"/>
                <w:highlight w:val="none"/>
              </w:rPr>
              <w:t>生态环境分区管控符合性分析</w:t>
            </w:r>
          </w:p>
          <w:p>
            <w:pPr>
              <w:pStyle w:val="12"/>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hint="default" w:ascii="Times New Roman" w:hAnsi="Times New Roman" w:eastAsia="宋体" w:cs="Times New Roman"/>
                <w:iCs/>
                <w:caps w:val="0"/>
                <w:smallCaps w:val="0"/>
                <w:color w:val="auto"/>
                <w:spacing w:val="0"/>
                <w:sz w:val="24"/>
                <w:szCs w:val="24"/>
                <w:highlight w:val="none"/>
              </w:rPr>
            </w:pPr>
            <w:r>
              <w:rPr>
                <w:rFonts w:hint="eastAsia" w:ascii="Times New Roman" w:hAnsi="Times New Roman" w:eastAsia="宋体" w:cs="Times New Roman"/>
                <w:iCs/>
                <w:caps w:val="0"/>
                <w:smallCaps w:val="0"/>
                <w:color w:val="auto"/>
                <w:spacing w:val="0"/>
                <w:sz w:val="24"/>
                <w:szCs w:val="24"/>
                <w:highlight w:val="none"/>
              </w:rPr>
              <w:t>本项目位于黑龙江省</w:t>
            </w:r>
            <w:r>
              <w:rPr>
                <w:rFonts w:hint="eastAsia" w:cs="Times New Roman"/>
                <w:iCs/>
                <w:caps w:val="0"/>
                <w:smallCaps w:val="0"/>
                <w:color w:val="auto"/>
                <w:spacing w:val="0"/>
                <w:sz w:val="24"/>
                <w:szCs w:val="24"/>
                <w:highlight w:val="none"/>
                <w:lang w:eastAsia="zh-CN"/>
              </w:rPr>
              <w:t>伊春市嘉荫县旧城村</w:t>
            </w:r>
            <w:r>
              <w:rPr>
                <w:rFonts w:hint="eastAsia" w:ascii="Times New Roman" w:hAnsi="Times New Roman" w:eastAsia="宋体" w:cs="Times New Roman"/>
                <w:iCs/>
                <w:caps w:val="0"/>
                <w:smallCaps w:val="0"/>
                <w:color w:val="auto"/>
                <w:spacing w:val="0"/>
                <w:sz w:val="24"/>
                <w:szCs w:val="24"/>
                <w:highlight w:val="none"/>
              </w:rPr>
              <w:t>。</w:t>
            </w:r>
            <w:r>
              <w:rPr>
                <w:rFonts w:hint="eastAsia" w:cs="Times New Roman"/>
                <w:iCs/>
                <w:caps w:val="0"/>
                <w:smallCaps w:val="0"/>
                <w:color w:val="auto"/>
                <w:spacing w:val="0"/>
                <w:sz w:val="24"/>
                <w:szCs w:val="24"/>
                <w:highlight w:val="none"/>
                <w:lang w:val="en-US" w:eastAsia="zh-CN"/>
              </w:rPr>
              <w:t>项目不在</w:t>
            </w:r>
            <w:r>
              <w:rPr>
                <w:rFonts w:hint="eastAsia" w:ascii="Times New Roman" w:hAnsi="Times New Roman" w:eastAsia="宋体" w:cs="Times New Roman"/>
                <w:iCs/>
                <w:caps w:val="0"/>
                <w:smallCaps w:val="0"/>
                <w:color w:val="auto"/>
                <w:spacing w:val="0"/>
                <w:sz w:val="24"/>
                <w:szCs w:val="24"/>
                <w:highlight w:val="none"/>
              </w:rPr>
              <w:t>生态保护红线</w:t>
            </w:r>
            <w:r>
              <w:rPr>
                <w:rFonts w:hint="eastAsia" w:cs="Times New Roman"/>
                <w:iCs/>
                <w:caps w:val="0"/>
                <w:smallCaps w:val="0"/>
                <w:color w:val="auto"/>
                <w:spacing w:val="0"/>
                <w:sz w:val="24"/>
                <w:szCs w:val="24"/>
                <w:highlight w:val="none"/>
                <w:lang w:val="en-US" w:eastAsia="zh-CN"/>
              </w:rPr>
              <w:t>范围内</w:t>
            </w:r>
            <w:r>
              <w:rPr>
                <w:rFonts w:hint="eastAsia" w:ascii="Times New Roman" w:hAnsi="Times New Roman" w:eastAsia="宋体" w:cs="Times New Roman"/>
                <w:iCs/>
                <w:caps w:val="0"/>
                <w:smallCaps w:val="0"/>
                <w:color w:val="auto"/>
                <w:spacing w:val="0"/>
                <w:sz w:val="24"/>
                <w:szCs w:val="24"/>
                <w:highlight w:val="none"/>
              </w:rPr>
              <w:t>，水环境为</w:t>
            </w:r>
            <w:r>
              <w:rPr>
                <w:rFonts w:hint="eastAsia" w:cs="Times New Roman"/>
                <w:iCs/>
                <w:caps w:val="0"/>
                <w:smallCaps w:val="0"/>
                <w:color w:val="auto"/>
                <w:spacing w:val="0"/>
                <w:sz w:val="24"/>
                <w:szCs w:val="24"/>
                <w:highlight w:val="none"/>
                <w:lang w:eastAsia="zh-CN"/>
              </w:rPr>
              <w:t>地下水环境一般</w:t>
            </w:r>
            <w:r>
              <w:rPr>
                <w:rFonts w:hint="eastAsia" w:ascii="Times New Roman" w:hAnsi="Times New Roman" w:eastAsia="宋体" w:cs="Times New Roman"/>
                <w:iCs/>
                <w:caps w:val="0"/>
                <w:smallCaps w:val="0"/>
                <w:color w:val="auto"/>
                <w:spacing w:val="0"/>
                <w:sz w:val="24"/>
                <w:szCs w:val="24"/>
                <w:highlight w:val="none"/>
              </w:rPr>
              <w:t>管控区，大气环境为大气环境</w:t>
            </w:r>
            <w:r>
              <w:rPr>
                <w:rFonts w:hint="eastAsia" w:cs="Times New Roman"/>
                <w:iCs/>
                <w:caps w:val="0"/>
                <w:smallCaps w:val="0"/>
                <w:color w:val="auto"/>
                <w:spacing w:val="0"/>
                <w:sz w:val="24"/>
                <w:szCs w:val="24"/>
                <w:highlight w:val="none"/>
                <w:lang w:val="en-US" w:eastAsia="zh-CN"/>
              </w:rPr>
              <w:t>一般</w:t>
            </w:r>
            <w:r>
              <w:rPr>
                <w:rFonts w:hint="eastAsia" w:ascii="Times New Roman" w:hAnsi="Times New Roman" w:eastAsia="宋体" w:cs="Times New Roman"/>
                <w:iCs/>
                <w:caps w:val="0"/>
                <w:smallCaps w:val="0"/>
                <w:color w:val="auto"/>
                <w:spacing w:val="0"/>
                <w:sz w:val="24"/>
                <w:szCs w:val="24"/>
                <w:highlight w:val="none"/>
              </w:rPr>
              <w:t>管控区</w:t>
            </w:r>
            <w:r>
              <w:rPr>
                <w:rFonts w:hint="eastAsia" w:cs="Times New Roman"/>
                <w:iCs/>
                <w:caps w:val="0"/>
                <w:smallCaps w:val="0"/>
                <w:color w:val="auto"/>
                <w:spacing w:val="0"/>
                <w:sz w:val="24"/>
                <w:szCs w:val="24"/>
                <w:highlight w:val="none"/>
                <w:lang w:eastAsia="zh-CN"/>
              </w:rPr>
              <w:t>，</w:t>
            </w:r>
            <w:r>
              <w:rPr>
                <w:rFonts w:hint="eastAsia" w:ascii="Times New Roman" w:hAnsi="Times New Roman" w:eastAsia="宋体" w:cs="Times New Roman"/>
                <w:iCs/>
                <w:caps w:val="0"/>
                <w:smallCaps w:val="0"/>
                <w:color w:val="auto"/>
                <w:spacing w:val="0"/>
                <w:sz w:val="24"/>
                <w:szCs w:val="24"/>
                <w:highlight w:val="none"/>
              </w:rPr>
              <w:t>资源利用上线为</w:t>
            </w:r>
            <w:r>
              <w:rPr>
                <w:rFonts w:hint="eastAsia" w:cs="Times New Roman"/>
                <w:iCs/>
                <w:caps w:val="0"/>
                <w:smallCaps w:val="0"/>
                <w:color w:val="auto"/>
                <w:spacing w:val="0"/>
                <w:sz w:val="24"/>
                <w:szCs w:val="24"/>
                <w:highlight w:val="none"/>
                <w:lang w:eastAsia="zh-CN"/>
              </w:rPr>
              <w:t>自然资源</w:t>
            </w:r>
            <w:r>
              <w:rPr>
                <w:rFonts w:hint="eastAsia" w:ascii="Times New Roman" w:hAnsi="Times New Roman" w:eastAsia="宋体" w:cs="Times New Roman"/>
                <w:iCs/>
                <w:caps w:val="0"/>
                <w:smallCaps w:val="0"/>
                <w:color w:val="auto"/>
                <w:spacing w:val="0"/>
                <w:sz w:val="24"/>
                <w:szCs w:val="24"/>
                <w:highlight w:val="none"/>
              </w:rPr>
              <w:t>一般管控区，生态环境准入清单应满足</w:t>
            </w:r>
            <w:r>
              <w:rPr>
                <w:rFonts w:hint="eastAsia"/>
                <w:color w:val="auto"/>
                <w:sz w:val="24"/>
                <w:highlight w:val="none"/>
                <w:lang w:eastAsia="zh-CN"/>
              </w:rPr>
              <w:t>嘉荫县</w:t>
            </w:r>
            <w:r>
              <w:rPr>
                <w:rFonts w:hint="eastAsia"/>
                <w:color w:val="auto"/>
                <w:sz w:val="24"/>
                <w:highlight w:val="none"/>
                <w:lang w:val="en-US" w:eastAsia="zh-CN"/>
              </w:rPr>
              <w:t>一般</w:t>
            </w:r>
            <w:r>
              <w:rPr>
                <w:rFonts w:hint="eastAsia" w:cs="Times New Roman"/>
                <w:iCs/>
                <w:caps w:val="0"/>
                <w:smallCaps w:val="0"/>
                <w:color w:val="auto"/>
                <w:spacing w:val="0"/>
                <w:sz w:val="24"/>
                <w:szCs w:val="24"/>
                <w:highlight w:val="none"/>
                <w:lang w:val="en-US" w:eastAsia="zh-CN"/>
              </w:rPr>
              <w:t>管控单元</w:t>
            </w:r>
            <w:r>
              <w:rPr>
                <w:rFonts w:hint="eastAsia" w:ascii="Times New Roman" w:hAnsi="Times New Roman" w:eastAsia="宋体" w:cs="Times New Roman"/>
                <w:iCs/>
                <w:caps w:val="0"/>
                <w:smallCaps w:val="0"/>
                <w:color w:val="auto"/>
                <w:spacing w:val="0"/>
                <w:sz w:val="24"/>
                <w:szCs w:val="24"/>
                <w:highlight w:val="none"/>
              </w:rPr>
              <w:t>要求</w:t>
            </w:r>
            <w:r>
              <w:rPr>
                <w:rFonts w:hint="eastAsia" w:cs="Times New Roman"/>
                <w:iCs/>
                <w:caps w:val="0"/>
                <w:smallCaps w:val="0"/>
                <w:color w:val="auto"/>
                <w:spacing w:val="0"/>
                <w:sz w:val="24"/>
                <w:szCs w:val="24"/>
                <w:highlight w:val="none"/>
                <w:lang w:eastAsia="zh-CN"/>
              </w:rPr>
              <w:t>，</w:t>
            </w:r>
            <w:r>
              <w:rPr>
                <w:rFonts w:hint="eastAsia" w:ascii="Times New Roman" w:hAnsi="Times New Roman" w:eastAsia="宋体" w:cs="Times New Roman"/>
                <w:iCs/>
                <w:caps w:val="0"/>
                <w:smallCaps w:val="0"/>
                <w:color w:val="auto"/>
                <w:spacing w:val="0"/>
                <w:sz w:val="24"/>
                <w:szCs w:val="24"/>
                <w:highlight w:val="none"/>
              </w:rPr>
              <w:t>根据</w:t>
            </w:r>
            <w:r>
              <w:rPr>
                <w:rFonts w:hint="eastAsia" w:ascii="Times New Roman" w:hAnsi="Times New Roman" w:eastAsia="宋体" w:cs="Times New Roman"/>
                <w:color w:val="auto"/>
                <w:sz w:val="24"/>
                <w:highlight w:val="none"/>
                <w:lang w:eastAsia="zh-CN"/>
              </w:rPr>
              <w:t>《</w:t>
            </w:r>
            <w:r>
              <w:rPr>
                <w:rFonts w:hint="eastAsia" w:cs="Times New Roman"/>
                <w:color w:val="auto"/>
                <w:sz w:val="24"/>
                <w:highlight w:val="none"/>
                <w:lang w:eastAsia="zh-CN"/>
              </w:rPr>
              <w:t>伊春</w:t>
            </w:r>
            <w:r>
              <w:rPr>
                <w:rFonts w:hint="eastAsia" w:ascii="Times New Roman" w:hAnsi="Times New Roman" w:eastAsia="宋体" w:cs="Times New Roman"/>
                <w:color w:val="auto"/>
                <w:sz w:val="24"/>
                <w:highlight w:val="none"/>
                <w:lang w:eastAsia="zh-CN"/>
              </w:rPr>
              <w:t>市人民政府关于实施“三线一单”生态环境分区管控的意见》（</w:t>
            </w:r>
            <w:r>
              <w:rPr>
                <w:rFonts w:hint="eastAsia" w:cs="Times New Roman"/>
                <w:color w:val="auto"/>
                <w:sz w:val="24"/>
                <w:highlight w:val="none"/>
                <w:lang w:eastAsia="zh-CN"/>
              </w:rPr>
              <w:t>伊</w:t>
            </w:r>
            <w:r>
              <w:rPr>
                <w:rFonts w:hint="eastAsia" w:ascii="Times New Roman" w:hAnsi="Times New Roman" w:eastAsia="宋体" w:cs="Times New Roman"/>
                <w:color w:val="auto"/>
                <w:sz w:val="24"/>
                <w:highlight w:val="none"/>
                <w:lang w:eastAsia="zh-CN"/>
              </w:rPr>
              <w:t>政规〔202</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eastAsia="zh-CN"/>
              </w:rPr>
              <w:t>号）和</w:t>
            </w:r>
            <w:r>
              <w:rPr>
                <w:rFonts w:hint="eastAsia" w:ascii="Times New Roman" w:hAnsi="Times New Roman" w:eastAsia="宋体" w:cs="Times New Roman"/>
                <w:color w:val="auto"/>
                <w:sz w:val="24"/>
                <w:highlight w:val="none"/>
                <w:lang w:val="en-US" w:eastAsia="zh-CN"/>
              </w:rPr>
              <w:t>《关于发布</w:t>
            </w:r>
            <w:r>
              <w:rPr>
                <w:rFonts w:hint="eastAsia" w:cs="Times New Roman"/>
                <w:color w:val="auto"/>
                <w:sz w:val="24"/>
                <w:highlight w:val="none"/>
                <w:lang w:val="en-US" w:eastAsia="zh-CN"/>
              </w:rPr>
              <w:t>伊春</w:t>
            </w:r>
            <w:r>
              <w:rPr>
                <w:rFonts w:hint="eastAsia" w:ascii="Times New Roman" w:hAnsi="Times New Roman" w:eastAsia="宋体" w:cs="Times New Roman"/>
                <w:color w:val="auto"/>
                <w:sz w:val="24"/>
                <w:highlight w:val="none"/>
                <w:lang w:val="en-US" w:eastAsia="zh-CN"/>
              </w:rPr>
              <w:t>市生态环境准入清单（2023年版）的通知》</w:t>
            </w:r>
            <w:r>
              <w:rPr>
                <w:rFonts w:hint="eastAsia" w:ascii="Times New Roman" w:hAnsi="Times New Roman" w:eastAsia="宋体" w:cs="Times New Roman"/>
                <w:iCs/>
                <w:caps w:val="0"/>
                <w:smallCaps w:val="0"/>
                <w:color w:val="auto"/>
                <w:spacing w:val="0"/>
                <w:sz w:val="24"/>
                <w:szCs w:val="24"/>
                <w:highlight w:val="none"/>
              </w:rPr>
              <w:t>及黑龙江省生态环境分区管控数据应用平台数据相关要求，结合本工程主要建设内容、排污特征和区域环境及环境质量现状调查的具体情况，本工程与“三线一单”符合性分析内容如下。</w:t>
            </w:r>
          </w:p>
          <w:p>
            <w:pPr>
              <w:pStyle w:val="12"/>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hint="eastAsia" w:ascii="Times New Roman" w:hAnsi="Times New Roman" w:eastAsia="宋体" w:cs="Times New Roman"/>
                <w:iCs/>
                <w:caps w:val="0"/>
                <w:smallCaps w:val="0"/>
                <w:color w:val="auto"/>
                <w:spacing w:val="0"/>
                <w:sz w:val="24"/>
                <w:szCs w:val="24"/>
                <w:highlight w:val="none"/>
                <w:lang w:val="en-US" w:eastAsia="zh-CN"/>
              </w:rPr>
            </w:pPr>
            <w:r>
              <w:rPr>
                <w:rFonts w:hint="eastAsia" w:ascii="Times New Roman" w:hAnsi="Times New Roman" w:cs="Times New Roman"/>
                <w:iCs/>
                <w:caps w:val="0"/>
                <w:smallCaps w:val="0"/>
                <w:color w:val="auto"/>
                <w:spacing w:val="0"/>
                <w:sz w:val="24"/>
                <w:szCs w:val="24"/>
                <w:highlight w:val="none"/>
                <w:lang w:val="en-US" w:eastAsia="zh-CN"/>
              </w:rPr>
              <w:t>（</w:t>
            </w:r>
            <w:r>
              <w:rPr>
                <w:rFonts w:hint="default" w:ascii="Times New Roman" w:hAnsi="Times New Roman" w:cs="Times New Roman"/>
                <w:iCs/>
                <w:caps w:val="0"/>
                <w:smallCaps w:val="0"/>
                <w:color w:val="auto"/>
                <w:spacing w:val="0"/>
                <w:sz w:val="24"/>
                <w:szCs w:val="24"/>
                <w:highlight w:val="none"/>
                <w:lang w:val="en-US" w:eastAsia="zh-CN"/>
              </w:rPr>
              <w:t>1</w:t>
            </w:r>
            <w:r>
              <w:rPr>
                <w:rFonts w:hint="eastAsia" w:ascii="Times New Roman" w:hAnsi="Times New Roman" w:cs="Times New Roman"/>
                <w:iCs/>
                <w:caps w:val="0"/>
                <w:smallCaps w:val="0"/>
                <w:color w:val="auto"/>
                <w:spacing w:val="0"/>
                <w:sz w:val="24"/>
                <w:szCs w:val="24"/>
                <w:highlight w:val="none"/>
                <w:lang w:val="en-US" w:eastAsia="zh-CN"/>
              </w:rPr>
              <w:t>）</w:t>
            </w:r>
            <w:r>
              <w:rPr>
                <w:rFonts w:hint="eastAsia" w:ascii="Times New Roman" w:hAnsi="Times New Roman" w:eastAsia="宋体" w:cs="Times New Roman"/>
                <w:iCs/>
                <w:caps w:val="0"/>
                <w:smallCaps w:val="0"/>
                <w:color w:val="auto"/>
                <w:spacing w:val="0"/>
                <w:sz w:val="24"/>
                <w:szCs w:val="24"/>
                <w:highlight w:val="none"/>
                <w:lang w:val="en-US" w:eastAsia="zh-CN"/>
              </w:rPr>
              <w:t>“一图”</w:t>
            </w:r>
          </w:p>
          <w:p>
            <w:pPr>
              <w:pStyle w:val="12"/>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hint="default" w:ascii="Times New Roman" w:hAnsi="Times New Roman" w:eastAsia="宋体" w:cs="Times New Roman"/>
                <w:iCs/>
                <w:caps w:val="0"/>
                <w:smallCaps w:val="0"/>
                <w:color w:val="auto"/>
                <w:spacing w:val="0"/>
                <w:sz w:val="24"/>
                <w:szCs w:val="24"/>
                <w:highlight w:val="none"/>
                <w:lang w:val="en-US" w:eastAsia="zh-CN"/>
              </w:rPr>
            </w:pPr>
            <w:r>
              <w:rPr>
                <w:rFonts w:hint="eastAsia" w:ascii="Times New Roman" w:hAnsi="Times New Roman" w:eastAsia="宋体" w:cs="Times New Roman"/>
                <w:iCs/>
                <w:caps w:val="0"/>
                <w:smallCaps w:val="0"/>
                <w:color w:val="auto"/>
                <w:spacing w:val="0"/>
                <w:sz w:val="24"/>
                <w:szCs w:val="24"/>
                <w:highlight w:val="none"/>
                <w:lang w:eastAsia="zh-CN"/>
              </w:rPr>
              <w:t>根据本项目“生态环境分区管控分析报告”，本项目与环境管控单元叠加图如下：</w:t>
            </w:r>
          </w:p>
          <w:p>
            <w:pPr>
              <w:pStyle w:val="19"/>
              <w:numPr>
                <w:ilvl w:val="0"/>
                <w:numId w:val="0"/>
              </w:numPr>
              <w:jc w:val="both"/>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659630" cy="2272030"/>
                  <wp:effectExtent l="0" t="0" r="7620" b="13970"/>
                  <wp:docPr id="19" name="图片 19" descr="175755475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57554751256"/>
                          <pic:cNvPicPr>
                            <a:picLocks noChangeAspect="1"/>
                          </pic:cNvPicPr>
                        </pic:nvPicPr>
                        <pic:blipFill>
                          <a:blip r:embed="rId14"/>
                          <a:stretch>
                            <a:fillRect/>
                          </a:stretch>
                        </pic:blipFill>
                        <pic:spPr>
                          <a:xfrm>
                            <a:off x="0" y="0"/>
                            <a:ext cx="4659630" cy="2272030"/>
                          </a:xfrm>
                          <a:prstGeom prst="rect">
                            <a:avLst/>
                          </a:prstGeom>
                        </pic:spPr>
                      </pic:pic>
                    </a:graphicData>
                  </a:graphic>
                </wp:inline>
              </w:drawing>
            </w:r>
          </w:p>
          <w:p>
            <w:pPr>
              <w:pStyle w:val="19"/>
              <w:numPr>
                <w:ilvl w:val="0"/>
                <w:numId w:val="0"/>
              </w:numPr>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图1-1 与环境管控单元叠加图</w:t>
            </w:r>
          </w:p>
          <w:p>
            <w:pPr>
              <w:pStyle w:val="19"/>
              <w:numPr>
                <w:ilvl w:val="0"/>
                <w:numId w:val="0"/>
              </w:numPr>
              <w:jc w:val="center"/>
              <w:rPr>
                <w:rFonts w:hint="default"/>
                <w:color w:val="auto"/>
                <w:highlight w:val="none"/>
                <w:lang w:val="en-US" w:eastAsia="zh-CN"/>
              </w:rPr>
            </w:pPr>
          </w:p>
          <w:p>
            <w:pPr>
              <w:pStyle w:val="12"/>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ascii="Times New Roman" w:hAnsi="Times New Roman" w:eastAsia="宋体" w:cs="Times New Roman"/>
                <w:b/>
                <w:smallCaps w:val="0"/>
                <w:color w:val="auto"/>
                <w:kern w:val="44"/>
                <w:sz w:val="24"/>
                <w:szCs w:val="24"/>
                <w:highlight w:val="none"/>
              </w:rPr>
            </w:pPr>
            <w:r>
              <w:rPr>
                <w:rFonts w:hint="eastAsia" w:ascii="Times New Roman" w:hAnsi="Times New Roman" w:cs="Times New Roman"/>
                <w:iCs/>
                <w:caps w:val="0"/>
                <w:smallCaps w:val="0"/>
                <w:color w:val="auto"/>
                <w:spacing w:val="0"/>
                <w:sz w:val="24"/>
                <w:szCs w:val="24"/>
                <w:highlight w:val="none"/>
                <w:lang w:val="en-US" w:eastAsia="zh-CN"/>
              </w:rPr>
              <w:t>（</w:t>
            </w:r>
            <w:r>
              <w:rPr>
                <w:rFonts w:hint="default" w:ascii="Times New Roman" w:hAnsi="Times New Roman" w:cs="Times New Roman"/>
                <w:iCs/>
                <w:caps w:val="0"/>
                <w:smallCaps w:val="0"/>
                <w:color w:val="auto"/>
                <w:spacing w:val="0"/>
                <w:sz w:val="24"/>
                <w:szCs w:val="24"/>
                <w:highlight w:val="none"/>
                <w:lang w:val="en-US" w:eastAsia="zh-CN"/>
              </w:rPr>
              <w:t>2</w:t>
            </w:r>
            <w:r>
              <w:rPr>
                <w:rFonts w:hint="eastAsia" w:ascii="Times New Roman" w:hAnsi="Times New Roman" w:cs="Times New Roman"/>
                <w:iCs/>
                <w:caps w:val="0"/>
                <w:smallCaps w:val="0"/>
                <w:color w:val="auto"/>
                <w:spacing w:val="0"/>
                <w:sz w:val="24"/>
                <w:szCs w:val="24"/>
                <w:highlight w:val="none"/>
                <w:lang w:val="en-US" w:eastAsia="zh-CN"/>
              </w:rPr>
              <w:t>）“一表”</w:t>
            </w:r>
          </w:p>
          <w:p>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ascii="Times New Roman" w:hAnsi="Times New Roman" w:eastAsia="宋体" w:cs="Times New Roman"/>
                <w:b/>
                <w:smallCaps w:val="0"/>
                <w:color w:val="auto"/>
                <w:kern w:val="44"/>
                <w:sz w:val="24"/>
                <w:szCs w:val="24"/>
                <w:highlight w:val="none"/>
              </w:rPr>
            </w:pPr>
            <w:r>
              <w:rPr>
                <w:rFonts w:ascii="Times New Roman" w:hAnsi="Times New Roman" w:eastAsia="宋体" w:cs="Times New Roman"/>
                <w:b/>
                <w:smallCaps w:val="0"/>
                <w:color w:val="auto"/>
                <w:kern w:val="44"/>
                <w:sz w:val="24"/>
                <w:szCs w:val="24"/>
                <w:highlight w:val="none"/>
              </w:rPr>
              <w:t>表</w:t>
            </w:r>
            <w:r>
              <w:rPr>
                <w:rFonts w:hint="default" w:ascii="Times New Roman" w:hAnsi="Times New Roman" w:eastAsia="宋体" w:cs="Times New Roman"/>
                <w:b/>
                <w:smallCaps w:val="0"/>
                <w:color w:val="auto"/>
                <w:kern w:val="44"/>
                <w:sz w:val="24"/>
                <w:szCs w:val="24"/>
                <w:highlight w:val="none"/>
              </w:rPr>
              <w:t>1</w:t>
            </w:r>
            <w:r>
              <w:rPr>
                <w:rFonts w:ascii="Times New Roman" w:hAnsi="Times New Roman" w:eastAsia="宋体" w:cs="Times New Roman"/>
                <w:b/>
                <w:smallCaps w:val="0"/>
                <w:color w:val="auto"/>
                <w:kern w:val="44"/>
                <w:sz w:val="24"/>
                <w:szCs w:val="24"/>
                <w:highlight w:val="none"/>
              </w:rPr>
              <w:t>-</w:t>
            </w:r>
            <w:r>
              <w:rPr>
                <w:rFonts w:hint="default" w:ascii="Times New Roman" w:hAnsi="Times New Roman" w:eastAsia="宋体" w:cs="Times New Roman"/>
                <w:b/>
                <w:smallCaps w:val="0"/>
                <w:color w:val="auto"/>
                <w:kern w:val="44"/>
                <w:sz w:val="24"/>
                <w:szCs w:val="24"/>
                <w:highlight w:val="none"/>
              </w:rPr>
              <w:t>2</w:t>
            </w:r>
            <w:r>
              <w:rPr>
                <w:rFonts w:hint="eastAsia" w:ascii="Times New Roman" w:hAnsi="Times New Roman" w:eastAsia="宋体" w:cs="Times New Roman"/>
                <w:b/>
                <w:smallCaps w:val="0"/>
                <w:color w:val="auto"/>
                <w:kern w:val="44"/>
                <w:sz w:val="24"/>
                <w:szCs w:val="24"/>
                <w:highlight w:val="none"/>
              </w:rPr>
              <w:t xml:space="preserve"> 本项目与“三线一单”符合性分析表</w:t>
            </w:r>
          </w:p>
          <w:tbl>
            <w:tblPr>
              <w:tblStyle w:val="32"/>
              <w:tblW w:w="72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3813"/>
              <w:gridCol w:w="22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80" w:type="dxa"/>
                  <w:gridSpan w:val="3"/>
                  <w:tcBorders>
                    <w:tl2br w:val="nil"/>
                    <w:tr2bl w:val="nil"/>
                  </w:tcBorders>
                  <w:vAlign w:val="center"/>
                </w:tcPr>
                <w:p>
                  <w:pPr>
                    <w:pStyle w:val="175"/>
                    <w:rPr>
                      <w:rFonts w:hint="default" w:ascii="Times New Roman" w:hAnsi="Times New Roman" w:eastAsia="宋体" w:cs="Times New Roman"/>
                      <w:color w:val="auto"/>
                      <w:kern w:val="0"/>
                      <w:sz w:val="21"/>
                      <w:szCs w:val="21"/>
                      <w:highlight w:val="yellow"/>
                      <w:lang w:bidi="ar"/>
                    </w:rPr>
                  </w:pPr>
                  <w:r>
                    <w:rPr>
                      <w:rFonts w:hint="default" w:ascii="Times New Roman" w:hAnsi="Times New Roman" w:eastAsia="宋体" w:cs="Times New Roman"/>
                      <w:b/>
                      <w:bCs/>
                      <w:color w:val="auto"/>
                      <w:kern w:val="0"/>
                      <w:sz w:val="21"/>
                      <w:szCs w:val="21"/>
                      <w:highlight w:val="none"/>
                      <w:lang w:bidi="ar"/>
                    </w:rPr>
                    <w:t>一、生态保护红线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pPr>
                    <w:pStyle w:val="175"/>
                    <w:jc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符合性</w:t>
                  </w:r>
                </w:p>
                <w:p>
                  <w:pPr>
                    <w:pStyle w:val="175"/>
                    <w:jc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分析</w:t>
                  </w:r>
                </w:p>
              </w:tc>
              <w:tc>
                <w:tcPr>
                  <w:tcW w:w="6062" w:type="dxa"/>
                  <w:gridSpan w:val="2"/>
                  <w:tcBorders>
                    <w:tl2br w:val="nil"/>
                    <w:tr2bl w:val="nil"/>
                  </w:tcBorders>
                  <w:vAlign w:val="center"/>
                </w:tcPr>
                <w:p>
                  <w:pPr>
                    <w:pStyle w:val="9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本项目位于</w:t>
                  </w:r>
                  <w:r>
                    <w:rPr>
                      <w:rFonts w:hint="eastAsia" w:cs="Times New Roman"/>
                      <w:color w:val="auto"/>
                      <w:kern w:val="0"/>
                      <w:sz w:val="21"/>
                      <w:szCs w:val="21"/>
                      <w:lang w:val="en-US" w:eastAsia="zh-CN" w:bidi="ar"/>
                    </w:rPr>
                    <w:t>伊春市嘉荫县旧城村</w:t>
                  </w:r>
                  <w:r>
                    <w:rPr>
                      <w:rFonts w:hint="default" w:ascii="Times New Roman" w:hAnsi="Times New Roman" w:cs="Times New Roman"/>
                      <w:color w:val="auto"/>
                      <w:kern w:val="0"/>
                      <w:sz w:val="21"/>
                      <w:szCs w:val="21"/>
                      <w:lang w:val="en-US" w:eastAsia="zh-CN" w:bidi="ar"/>
                    </w:rPr>
                    <w:t>，占地性质为</w:t>
                  </w:r>
                  <w:r>
                    <w:rPr>
                      <w:rFonts w:hint="eastAsia" w:cs="Times New Roman"/>
                      <w:color w:val="auto"/>
                      <w:kern w:val="0"/>
                      <w:sz w:val="21"/>
                      <w:szCs w:val="21"/>
                      <w:lang w:val="en-US" w:eastAsia="zh-CN" w:bidi="ar"/>
                    </w:rPr>
                    <w:t>工业</w:t>
                  </w:r>
                  <w:r>
                    <w:rPr>
                      <w:rFonts w:hint="eastAsia" w:ascii="Times New Roman" w:hAnsi="Times New Roman" w:cs="Times New Roman"/>
                      <w:color w:val="auto"/>
                      <w:kern w:val="0"/>
                      <w:sz w:val="21"/>
                      <w:szCs w:val="21"/>
                      <w:lang w:val="en-US" w:eastAsia="zh-CN" w:bidi="ar"/>
                    </w:rPr>
                    <w:t>用地</w:t>
                  </w:r>
                  <w:r>
                    <w:rPr>
                      <w:rFonts w:hint="default" w:ascii="Times New Roman" w:hAnsi="Times New Roman" w:cs="Times New Roman"/>
                      <w:color w:val="auto"/>
                      <w:kern w:val="0"/>
                      <w:sz w:val="21"/>
                      <w:szCs w:val="21"/>
                      <w:lang w:val="en-US" w:eastAsia="zh-CN" w:bidi="ar"/>
                    </w:rPr>
                    <w:t>。根据</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黑龙江省龙建路桥第二工程有限公司嘉荫分公司商品混凝土搅拌站建设项目</w:t>
                  </w:r>
                  <w:r>
                    <w:rPr>
                      <w:rFonts w:hint="default" w:ascii="Times New Roman" w:hAnsi="Times New Roman" w:eastAsia="宋体" w:cs="Times New Roman"/>
                      <w:color w:val="auto"/>
                      <w:kern w:val="0"/>
                      <w:sz w:val="21"/>
                      <w:szCs w:val="21"/>
                      <w:lang w:val="en-US" w:eastAsia="zh-CN" w:bidi="ar"/>
                    </w:rPr>
                    <w:t>态环境分区管控分析报告》本项目所在区域内无自然保护区、风景名胜区、水源地保护区、野生动植物保护区及重要湿地分布，本项目选址不在特殊重要生态功能区域内，本项目不占用、不涉及生态红线</w:t>
                  </w:r>
                  <w:r>
                    <w:rPr>
                      <w:rFonts w:hint="default" w:ascii="Times New Roman" w:hAnsi="Times New Roman" w:eastAsia="宋体" w:cs="Times New Roman"/>
                      <w:color w:val="auto"/>
                      <w:kern w:val="0"/>
                      <w:sz w:val="21"/>
                      <w:szCs w:val="21"/>
                      <w:lang w:bidi="ar"/>
                    </w:rPr>
                    <w:t>，因此本项目符合生态保护红线要求。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80" w:type="dxa"/>
                  <w:gridSpan w:val="3"/>
                  <w:tcBorders>
                    <w:tl2br w:val="nil"/>
                    <w:tr2bl w:val="nil"/>
                  </w:tcBorders>
                  <w:vAlign w:val="center"/>
                </w:tcPr>
                <w:p>
                  <w:pPr>
                    <w:pStyle w:val="175"/>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二、环境质量底线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80" w:type="dxa"/>
                  <w:gridSpan w:val="3"/>
                  <w:tcBorders>
                    <w:tl2br w:val="nil"/>
                    <w:tr2bl w:val="nil"/>
                  </w:tcBorders>
                  <w:vAlign w:val="center"/>
                </w:tcPr>
                <w:p>
                  <w:pPr>
                    <w:pStyle w:val="175"/>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大气环境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pPr>
                    <w:pStyle w:val="175"/>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管控单元类别</w:t>
                  </w:r>
                </w:p>
              </w:tc>
              <w:tc>
                <w:tcPr>
                  <w:tcW w:w="6062" w:type="dxa"/>
                  <w:gridSpan w:val="2"/>
                  <w:tcBorders>
                    <w:tl2br w:val="nil"/>
                    <w:tr2bl w:val="nil"/>
                  </w:tcBorders>
                  <w:vAlign w:val="center"/>
                </w:tcPr>
                <w:p>
                  <w:pPr>
                    <w:pStyle w:val="175"/>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color w:val="auto"/>
                      <w:kern w:val="0"/>
                      <w:sz w:val="21"/>
                      <w:szCs w:val="21"/>
                      <w:lang w:bidi="ar"/>
                    </w:rPr>
                    <w:t>大气环境一般管控区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80" w:type="dxa"/>
                  <w:gridSpan w:val="3"/>
                  <w:tcBorders>
                    <w:tl2br w:val="nil"/>
                    <w:tr2bl w:val="nil"/>
                  </w:tcBorders>
                  <w:vAlign w:val="center"/>
                </w:tcPr>
                <w:p>
                  <w:pPr>
                    <w:pStyle w:val="9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本项目所在区域环境空气功能为二类区，根据</w:t>
                  </w:r>
                  <w:r>
                    <w:rPr>
                      <w:rFonts w:hint="eastAsia" w:ascii="Times New Roman" w:hAnsi="Times New Roman" w:eastAsia="宋体" w:cs="Times New Roman"/>
                      <w:color w:val="auto"/>
                      <w:kern w:val="0"/>
                      <w:sz w:val="21"/>
                      <w:szCs w:val="21"/>
                      <w:highlight w:val="none"/>
                      <w:lang w:val="en-US" w:eastAsia="zh-CN" w:bidi="ar"/>
                    </w:rPr>
                    <w:t>《2023年</w:t>
                  </w:r>
                  <w:r>
                    <w:rPr>
                      <w:rFonts w:hint="eastAsia" w:cs="Times New Roman"/>
                      <w:color w:val="auto"/>
                      <w:kern w:val="0"/>
                      <w:sz w:val="21"/>
                      <w:szCs w:val="21"/>
                      <w:highlight w:val="none"/>
                      <w:lang w:val="en-US" w:eastAsia="zh-CN" w:bidi="ar"/>
                    </w:rPr>
                    <w:t>伊春</w:t>
                  </w:r>
                  <w:r>
                    <w:rPr>
                      <w:rFonts w:hint="eastAsia" w:ascii="Times New Roman" w:hAnsi="Times New Roman" w:eastAsia="宋体" w:cs="Times New Roman"/>
                      <w:color w:val="auto"/>
                      <w:kern w:val="0"/>
                      <w:sz w:val="21"/>
                      <w:szCs w:val="21"/>
                      <w:highlight w:val="none"/>
                      <w:lang w:val="en-US" w:eastAsia="zh-CN" w:bidi="ar"/>
                    </w:rPr>
                    <w:t>市生态环境状况公报》</w:t>
                  </w:r>
                  <w:r>
                    <w:rPr>
                      <w:rFonts w:hint="default" w:ascii="Times New Roman" w:hAnsi="Times New Roman" w:eastAsia="宋体" w:cs="Times New Roman"/>
                      <w:color w:val="auto"/>
                      <w:kern w:val="0"/>
                      <w:sz w:val="21"/>
                      <w:szCs w:val="21"/>
                      <w:highlight w:val="none"/>
                      <w:lang w:val="en-US" w:eastAsia="zh-CN" w:bidi="ar"/>
                    </w:rPr>
                    <w:t>中的数据，该地区空气污染物</w:t>
                  </w:r>
                  <w:r>
                    <w:rPr>
                      <w:rFonts w:hint="eastAsia" w:ascii="Times New Roman" w:hAnsi="Times New Roman" w:eastAsia="宋体" w:cs="Times New Roman"/>
                      <w:color w:val="auto"/>
                      <w:kern w:val="0"/>
                      <w:sz w:val="21"/>
                      <w:szCs w:val="21"/>
                      <w:highlight w:val="none"/>
                      <w:lang w:val="en-US" w:eastAsia="zh-CN" w:bidi="ar"/>
                    </w:rPr>
                    <w:t>满足</w:t>
                  </w:r>
                  <w:r>
                    <w:rPr>
                      <w:rFonts w:hint="default" w:ascii="Times New Roman" w:hAnsi="Times New Roman" w:eastAsia="宋体" w:cs="Times New Roman"/>
                      <w:color w:val="auto"/>
                      <w:kern w:val="0"/>
                      <w:sz w:val="21"/>
                      <w:szCs w:val="21"/>
                      <w:highlight w:val="none"/>
                      <w:lang w:val="en-US" w:eastAsia="zh-CN" w:bidi="ar"/>
                    </w:rPr>
                    <w:t>《环境空气质量标准》（GB3095-2012）及修改单中的二级标准，为达标区</w:t>
                  </w:r>
                  <w:r>
                    <w:rPr>
                      <w:rFonts w:hint="eastAsia" w:ascii="Times New Roman" w:hAnsi="Times New Roman" w:eastAsia="宋体" w:cs="Times New Roman"/>
                      <w:color w:val="auto"/>
                      <w:kern w:val="0"/>
                      <w:sz w:val="21"/>
                      <w:szCs w:val="21"/>
                      <w:highlight w:val="none"/>
                      <w:lang w:val="en-US" w:eastAsia="zh-CN" w:bidi="ar"/>
                    </w:rPr>
                    <w:t>。</w:t>
                  </w:r>
                </w:p>
                <w:p>
                  <w:pPr>
                    <w:pStyle w:val="145"/>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bCs/>
                      <w:color w:val="auto"/>
                      <w:kern w:val="0"/>
                      <w:sz w:val="21"/>
                      <w:szCs w:val="21"/>
                      <w:lang w:bidi="ar"/>
                    </w:rPr>
                  </w:pPr>
                  <w:r>
                    <w:rPr>
                      <w:rFonts w:hint="eastAsia" w:ascii="Times New Roman" w:hAnsi="Times New Roman" w:eastAsia="宋体" w:cs="Times New Roman"/>
                      <w:color w:val="auto"/>
                      <w:kern w:val="0"/>
                      <w:sz w:val="21"/>
                      <w:szCs w:val="21"/>
                      <w:lang w:val="en-GB" w:eastAsia="zh-CN" w:bidi="ar"/>
                    </w:rPr>
                    <w:t>原料</w:t>
                  </w:r>
                  <w:r>
                    <w:rPr>
                      <w:rFonts w:hint="default" w:ascii="Times New Roman" w:hAnsi="Times New Roman" w:eastAsia="宋体" w:cs="Times New Roman"/>
                      <w:color w:val="auto"/>
                      <w:kern w:val="0"/>
                      <w:sz w:val="21"/>
                      <w:szCs w:val="21"/>
                      <w:lang w:val="en-GB" w:eastAsia="zh-CN" w:bidi="ar"/>
                    </w:rPr>
                    <w:t>采用卡车运输，卡车用苫布苫盖</w:t>
                  </w:r>
                  <w:r>
                    <w:rPr>
                      <w:rFonts w:hint="eastAsia" w:ascii="Times New Roman" w:hAnsi="Times New Roman" w:eastAsia="宋体" w:cs="Times New Roman"/>
                      <w:color w:val="auto"/>
                      <w:kern w:val="0"/>
                      <w:sz w:val="21"/>
                      <w:szCs w:val="21"/>
                      <w:lang w:val="en-GB" w:eastAsia="zh-CN" w:bidi="ar"/>
                    </w:rPr>
                    <w:t>，</w:t>
                  </w:r>
                  <w:r>
                    <w:rPr>
                      <w:rFonts w:hint="eastAsia" w:cs="Times New Roman"/>
                      <w:color w:val="auto"/>
                      <w:kern w:val="0"/>
                      <w:sz w:val="21"/>
                      <w:szCs w:val="21"/>
                      <w:lang w:val="en-GB" w:eastAsia="zh-CN" w:bidi="ar"/>
                    </w:rPr>
                    <w:t>水泥采用专用水泥运输罐车运输</w:t>
                  </w:r>
                  <w:r>
                    <w:rPr>
                      <w:rFonts w:hint="eastAsia" w:ascii="Times New Roman" w:hAnsi="Times New Roman" w:eastAsia="宋体" w:cs="Times New Roman"/>
                      <w:color w:val="auto"/>
                      <w:kern w:val="0"/>
                      <w:sz w:val="21"/>
                      <w:szCs w:val="21"/>
                      <w:lang w:val="en-US" w:eastAsia="zh-CN" w:bidi="ar"/>
                    </w:rPr>
                    <w:t>，且对厂区进行洒水抑尘</w:t>
                  </w:r>
                  <w:r>
                    <w:rPr>
                      <w:rFonts w:hint="eastAsia" w:ascii="Times New Roman" w:hAnsi="Times New Roman" w:eastAsia="宋体" w:cs="Times New Roman"/>
                      <w:color w:val="auto"/>
                      <w:kern w:val="0"/>
                      <w:sz w:val="21"/>
                      <w:szCs w:val="21"/>
                      <w:lang w:val="en-GB" w:eastAsia="zh-CN" w:bidi="ar"/>
                    </w:rPr>
                    <w:t>；本项目</w:t>
                  </w:r>
                  <w:r>
                    <w:rPr>
                      <w:rFonts w:hint="eastAsia" w:ascii="Times New Roman" w:hAnsi="Times New Roman" w:eastAsia="宋体" w:cs="Times New Roman"/>
                      <w:color w:val="auto"/>
                      <w:kern w:val="0"/>
                      <w:sz w:val="21"/>
                      <w:szCs w:val="21"/>
                      <w:lang w:val="en-US" w:eastAsia="zh-CN" w:bidi="ar"/>
                    </w:rPr>
                    <w:t>砂石料</w:t>
                  </w:r>
                  <w:r>
                    <w:rPr>
                      <w:rFonts w:hint="default" w:ascii="Times New Roman" w:hAnsi="Times New Roman" w:eastAsia="宋体" w:cs="Times New Roman"/>
                      <w:color w:val="auto"/>
                      <w:kern w:val="0"/>
                      <w:sz w:val="21"/>
                      <w:szCs w:val="21"/>
                      <w:lang w:val="en-US" w:eastAsia="zh-CN" w:bidi="ar"/>
                    </w:rPr>
                    <w:t>堆</w:t>
                  </w:r>
                  <w:r>
                    <w:rPr>
                      <w:rFonts w:hint="eastAsia" w:ascii="Times New Roman" w:hAnsi="Times New Roman" w:eastAsia="宋体" w:cs="Times New Roman"/>
                      <w:color w:val="auto"/>
                      <w:kern w:val="0"/>
                      <w:sz w:val="21"/>
                      <w:szCs w:val="21"/>
                      <w:lang w:val="en-US" w:eastAsia="zh-CN" w:bidi="ar"/>
                    </w:rPr>
                    <w:t>场</w:t>
                  </w:r>
                  <w:r>
                    <w:rPr>
                      <w:rFonts w:hint="eastAsia" w:ascii="Times New Roman" w:hAnsi="Times New Roman" w:eastAsia="宋体" w:cs="Times New Roman"/>
                      <w:color w:val="auto"/>
                      <w:kern w:val="0"/>
                      <w:sz w:val="21"/>
                      <w:szCs w:val="21"/>
                      <w:lang w:val="en-GB" w:eastAsia="zh-CN" w:bidi="ar"/>
                    </w:rPr>
                    <w:t>四周设置</w:t>
                  </w:r>
                  <w:r>
                    <w:rPr>
                      <w:rFonts w:hint="default" w:ascii="Times New Roman" w:hAnsi="Times New Roman" w:eastAsia="宋体" w:cs="Times New Roman"/>
                      <w:color w:val="auto"/>
                      <w:kern w:val="0"/>
                      <w:sz w:val="21"/>
                      <w:szCs w:val="21"/>
                      <w:lang w:val="en-US" w:eastAsia="zh-CN" w:bidi="ar"/>
                    </w:rPr>
                    <w:t>防风抑尘网</w:t>
                  </w:r>
                  <w:r>
                    <w:rPr>
                      <w:rFonts w:hint="eastAsia" w:ascii="Times New Roman" w:hAnsi="Times New Roman" w:eastAsia="宋体" w:cs="Times New Roman"/>
                      <w:color w:val="auto"/>
                      <w:kern w:val="0"/>
                      <w:sz w:val="21"/>
                      <w:szCs w:val="21"/>
                      <w:lang w:val="en-US" w:eastAsia="zh-CN" w:bidi="ar"/>
                    </w:rPr>
                    <w:t>，并洒水抑尘；水泥和粉煤灰采用筒仓存储，水泥、粉煤灰筒仓</w:t>
                  </w:r>
                  <w:r>
                    <w:rPr>
                      <w:rFonts w:hint="eastAsia" w:ascii="Times New Roman" w:hAnsi="Times New Roman" w:eastAsia="宋体" w:cs="Times New Roman"/>
                      <w:color w:val="auto"/>
                      <w:kern w:val="0"/>
                      <w:sz w:val="21"/>
                      <w:szCs w:val="21"/>
                      <w:lang w:val="en-GB" w:eastAsia="zh-CN" w:bidi="ar"/>
                    </w:rPr>
                    <w:t>均配备仓顶式布袋除尘器，废气经处理后由无组织形式排放；</w:t>
                  </w:r>
                  <w:r>
                    <w:rPr>
                      <w:rFonts w:hint="eastAsia" w:ascii="Times New Roman" w:hAnsi="Times New Roman" w:eastAsia="宋体" w:cs="Times New Roman"/>
                      <w:color w:val="auto"/>
                      <w:kern w:val="0"/>
                      <w:sz w:val="21"/>
                      <w:szCs w:val="21"/>
                      <w:lang w:val="en-US" w:eastAsia="zh-CN" w:bidi="ar"/>
                    </w:rPr>
                    <w:t>投料</w:t>
                  </w:r>
                  <w:r>
                    <w:rPr>
                      <w:rFonts w:hint="default" w:ascii="Times New Roman" w:hAnsi="Times New Roman" w:eastAsia="宋体" w:cs="Times New Roman"/>
                      <w:color w:val="auto"/>
                      <w:kern w:val="0"/>
                      <w:sz w:val="21"/>
                      <w:szCs w:val="21"/>
                      <w:lang w:val="en-US" w:eastAsia="zh-CN" w:bidi="ar"/>
                    </w:rPr>
                    <w:t>斗设置</w:t>
                  </w:r>
                  <w:r>
                    <w:rPr>
                      <w:rFonts w:hint="eastAsia" w:ascii="Times New Roman" w:hAnsi="Times New Roman" w:eastAsia="宋体" w:cs="Times New Roman"/>
                      <w:color w:val="auto"/>
                      <w:kern w:val="0"/>
                      <w:sz w:val="21"/>
                      <w:szCs w:val="21"/>
                      <w:lang w:val="en-US" w:eastAsia="zh-CN" w:bidi="ar"/>
                    </w:rPr>
                    <w:t>在半封闭式罩棚内</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并在投料</w:t>
                  </w:r>
                  <w:r>
                    <w:rPr>
                      <w:rFonts w:hint="default" w:ascii="Times New Roman" w:hAnsi="Times New Roman" w:eastAsia="宋体" w:cs="Times New Roman"/>
                      <w:color w:val="auto"/>
                      <w:kern w:val="0"/>
                      <w:sz w:val="21"/>
                      <w:szCs w:val="21"/>
                      <w:lang w:val="en-US" w:eastAsia="zh-CN" w:bidi="ar"/>
                    </w:rPr>
                    <w:t>斗</w:t>
                  </w:r>
                  <w:r>
                    <w:rPr>
                      <w:rFonts w:hint="eastAsia" w:ascii="Times New Roman" w:hAnsi="Times New Roman" w:eastAsia="宋体" w:cs="Times New Roman"/>
                      <w:color w:val="auto"/>
                      <w:kern w:val="0"/>
                      <w:sz w:val="21"/>
                      <w:szCs w:val="21"/>
                      <w:lang w:val="en-US" w:eastAsia="zh-CN" w:bidi="ar"/>
                    </w:rPr>
                    <w:t>上方</w:t>
                  </w:r>
                  <w:r>
                    <w:rPr>
                      <w:rFonts w:hint="default" w:ascii="Times New Roman" w:hAnsi="Times New Roman" w:eastAsia="宋体" w:cs="Times New Roman"/>
                      <w:color w:val="auto"/>
                      <w:kern w:val="0"/>
                      <w:sz w:val="21"/>
                      <w:szCs w:val="21"/>
                      <w:lang w:val="en-US" w:eastAsia="zh-CN" w:bidi="ar"/>
                    </w:rPr>
                    <w:t>设置</w:t>
                  </w:r>
                  <w:r>
                    <w:rPr>
                      <w:rFonts w:hint="eastAsia" w:ascii="Times New Roman" w:hAnsi="Times New Roman" w:eastAsia="宋体" w:cs="Times New Roman"/>
                      <w:color w:val="auto"/>
                      <w:kern w:val="0"/>
                      <w:sz w:val="21"/>
                      <w:szCs w:val="21"/>
                      <w:lang w:val="en-US" w:eastAsia="zh-CN" w:bidi="ar"/>
                    </w:rPr>
                    <w:t>雾化喷淋装置；水泥、砂石、粉煤灰进入搅拌机均采用密闭式输送；</w:t>
                  </w:r>
                  <w:r>
                    <w:rPr>
                      <w:rFonts w:hint="eastAsia" w:ascii="Times New Roman" w:hAnsi="Times New Roman" w:eastAsia="宋体" w:cs="Times New Roman"/>
                      <w:color w:val="auto"/>
                      <w:kern w:val="0"/>
                      <w:sz w:val="21"/>
                      <w:szCs w:val="21"/>
                      <w:lang w:val="en-GB" w:eastAsia="zh-CN" w:bidi="ar"/>
                    </w:rPr>
                    <w:t>厂区地面进行硬化，定时洒水抑尘</w:t>
                  </w:r>
                  <w:r>
                    <w:rPr>
                      <w:rFonts w:hint="default" w:ascii="Times New Roman" w:hAnsi="Times New Roman" w:eastAsia="宋体" w:cs="Times New Roman"/>
                      <w:color w:val="auto"/>
                      <w:kern w:val="0"/>
                      <w:sz w:val="21"/>
                      <w:szCs w:val="21"/>
                      <w:lang w:val="en-GB" w:eastAsia="zh-CN" w:bidi="ar"/>
                    </w:rPr>
                    <w:t>。通过采取</w:t>
                  </w:r>
                  <w:r>
                    <w:rPr>
                      <w:rFonts w:hint="default" w:ascii="Times New Roman" w:hAnsi="Times New Roman" w:eastAsia="宋体" w:cs="Times New Roman"/>
                      <w:color w:val="auto"/>
                      <w:kern w:val="0"/>
                      <w:sz w:val="21"/>
                      <w:szCs w:val="21"/>
                      <w:lang w:val="en-US" w:eastAsia="zh-CN" w:bidi="ar"/>
                    </w:rPr>
                    <w:t>以上降尘措施后，颗粒物厂界外无组织排放监控点浓度满足《水泥工业大气污染物排放标准》（GB4915-2013）表3中标准要求。</w:t>
                  </w:r>
                  <w:r>
                    <w:rPr>
                      <w:rFonts w:hint="eastAsia" w:ascii="Times New Roman" w:hAnsi="Times New Roman" w:eastAsia="宋体" w:cs="Times New Roman"/>
                      <w:color w:val="auto"/>
                      <w:kern w:val="0"/>
                      <w:sz w:val="21"/>
                      <w:szCs w:val="21"/>
                      <w:lang w:val="en-US" w:eastAsia="zh-CN" w:bidi="ar"/>
                    </w:rPr>
                    <w:t>混凝土</w:t>
                  </w:r>
                  <w:r>
                    <w:rPr>
                      <w:rFonts w:hint="default" w:ascii="Times New Roman" w:hAnsi="Times New Roman" w:eastAsia="宋体" w:cs="Times New Roman"/>
                      <w:color w:val="auto"/>
                      <w:kern w:val="0"/>
                      <w:sz w:val="21"/>
                      <w:szCs w:val="21"/>
                      <w:lang w:val="en-US" w:eastAsia="zh-CN" w:bidi="ar"/>
                    </w:rPr>
                    <w:t>搅拌机通气口设置1套布袋除尘器，搅拌主机卸料口应设置</w:t>
                  </w:r>
                  <w:r>
                    <w:rPr>
                      <w:rFonts w:hint="eastAsia" w:ascii="Times New Roman" w:hAnsi="Times New Roman" w:eastAsia="宋体" w:cs="Times New Roman"/>
                      <w:color w:val="auto"/>
                      <w:kern w:val="0"/>
                      <w:sz w:val="21"/>
                      <w:szCs w:val="21"/>
                      <w:lang w:val="en-US" w:eastAsia="zh-CN" w:bidi="ar"/>
                    </w:rPr>
                    <w:t>防喷溅设施，</w:t>
                  </w:r>
                  <w:r>
                    <w:rPr>
                      <w:rFonts w:hint="eastAsia" w:cs="Times New Roman"/>
                      <w:color w:val="auto"/>
                      <w:kern w:val="0"/>
                      <w:sz w:val="21"/>
                      <w:szCs w:val="21"/>
                      <w:lang w:val="en-US" w:eastAsia="zh-CN" w:bidi="ar"/>
                    </w:rPr>
                    <w:t>粉尘经除尘器处理后以无组织形式排放至车间内部</w:t>
                  </w:r>
                  <w:r>
                    <w:rPr>
                      <w:rFonts w:hint="default" w:ascii="Times New Roman" w:hAnsi="Times New Roman" w:eastAsia="宋体" w:cs="Times New Roman"/>
                      <w:color w:val="auto"/>
                      <w:kern w:val="0"/>
                      <w:sz w:val="21"/>
                      <w:szCs w:val="21"/>
                      <w:lang w:val="en-US" w:eastAsia="zh-CN" w:bidi="ar"/>
                    </w:rPr>
                    <w:t>，颗粒物满足《水泥工业大气污染物排放标准》（GB4915-2013）中</w:t>
                  </w:r>
                  <w:r>
                    <w:rPr>
                      <w:rFonts w:hint="eastAsia" w:cs="Times New Roman"/>
                      <w:color w:val="auto"/>
                      <w:kern w:val="0"/>
                      <w:sz w:val="21"/>
                      <w:szCs w:val="21"/>
                      <w:lang w:val="en-US" w:eastAsia="zh-CN" w:bidi="ar"/>
                    </w:rPr>
                    <w:t>表</w:t>
                  </w:r>
                  <w:r>
                    <w:rPr>
                      <w:rFonts w:hint="default" w:ascii="Times New Roman" w:hAnsi="Times New Roman" w:cs="Times New Roman"/>
                      <w:color w:val="auto"/>
                      <w:kern w:val="0"/>
                      <w:sz w:val="21"/>
                      <w:szCs w:val="21"/>
                      <w:lang w:val="en-US" w:eastAsia="zh-CN" w:bidi="ar"/>
                    </w:rPr>
                    <w:t>3</w:t>
                  </w:r>
                  <w:r>
                    <w:rPr>
                      <w:rFonts w:hint="eastAsia" w:cs="Times New Roman"/>
                      <w:color w:val="auto"/>
                      <w:kern w:val="0"/>
                      <w:sz w:val="21"/>
                      <w:szCs w:val="21"/>
                      <w:lang w:val="en-US" w:eastAsia="zh-CN" w:bidi="ar"/>
                    </w:rPr>
                    <w:t>标准限值</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对区域环境造成的不利影响较小，不会改变区域环境质量现状，因此，符合环境空气质量底线要求。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80" w:type="dxa"/>
                  <w:gridSpan w:val="3"/>
                  <w:tcBorders>
                    <w:tl2br w:val="nil"/>
                    <w:tr2bl w:val="nil"/>
                  </w:tcBorders>
                  <w:vAlign w:val="center"/>
                </w:tcPr>
                <w:p>
                  <w:pPr>
                    <w:pStyle w:val="175"/>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
                      <w:bCs/>
                      <w:color w:val="auto"/>
                      <w:kern w:val="0"/>
                      <w:sz w:val="21"/>
                      <w:szCs w:val="21"/>
                      <w:lang w:bidi="ar"/>
                    </w:rPr>
                    <w:t>水环境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pPr>
                    <w:pStyle w:val="175"/>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
                      <w:bCs/>
                      <w:color w:val="auto"/>
                      <w:kern w:val="0"/>
                      <w:sz w:val="21"/>
                      <w:szCs w:val="21"/>
                      <w:lang w:bidi="ar"/>
                    </w:rPr>
                    <w:t>管控单元类别</w:t>
                  </w:r>
                </w:p>
              </w:tc>
              <w:tc>
                <w:tcPr>
                  <w:tcW w:w="6062" w:type="dxa"/>
                  <w:gridSpan w:val="2"/>
                  <w:tcBorders>
                    <w:tl2br w:val="nil"/>
                    <w:tr2bl w:val="nil"/>
                  </w:tcBorders>
                  <w:vAlign w:val="center"/>
                </w:tcPr>
                <w:p>
                  <w:pPr>
                    <w:pStyle w:val="175"/>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水环境</w:t>
                  </w:r>
                  <w:r>
                    <w:rPr>
                      <w:rFonts w:hint="eastAsia" w:eastAsia="宋体" w:cs="Times New Roman"/>
                      <w:color w:val="auto"/>
                      <w:kern w:val="0"/>
                      <w:sz w:val="21"/>
                      <w:szCs w:val="21"/>
                      <w:lang w:val="en-US" w:eastAsia="zh-CN" w:bidi="ar"/>
                    </w:rPr>
                    <w:t>一般</w:t>
                  </w:r>
                  <w:r>
                    <w:rPr>
                      <w:rFonts w:hint="default" w:ascii="Times New Roman" w:hAnsi="Times New Roman" w:eastAsia="宋体" w:cs="Times New Roman"/>
                      <w:color w:val="auto"/>
                      <w:kern w:val="0"/>
                      <w:sz w:val="21"/>
                      <w:szCs w:val="21"/>
                      <w:lang w:bidi="ar"/>
                    </w:rPr>
                    <w:t>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80" w:type="dxa"/>
                  <w:gridSpan w:val="3"/>
                  <w:tcBorders>
                    <w:tl2br w:val="nil"/>
                    <w:tr2bl w:val="nil"/>
                  </w:tcBorders>
                  <w:vAlign w:val="center"/>
                </w:tcPr>
                <w:p>
                  <w:pPr>
                    <w:pStyle w:val="175"/>
                    <w:keepNext w:val="0"/>
                    <w:keepLines w:val="0"/>
                    <w:pageBreakBefore w:val="0"/>
                    <w:widowControl w:val="0"/>
                    <w:kinsoku/>
                    <w:wordWrap/>
                    <w:overflowPunct/>
                    <w:topLinePunct w:val="0"/>
                    <w:autoSpaceDE/>
                    <w:autoSpaceDN/>
                    <w:bidi w:val="0"/>
                    <w:adjustRightInd/>
                    <w:snapToGrid/>
                    <w:spacing w:before="0" w:after="0" w:line="240" w:lineRule="auto"/>
                    <w:ind w:firstLine="420" w:firstLineChars="200"/>
                    <w:jc w:val="both"/>
                    <w:textAlignment w:val="auto"/>
                    <w:rPr>
                      <w:rFonts w:hint="eastAsia" w:ascii="Times New Roman" w:hAnsi="Times New Roman" w:eastAsia="宋体" w:cs="Times New Roman"/>
                      <w:color w:val="auto"/>
                      <w:kern w:val="0"/>
                      <w:sz w:val="21"/>
                      <w:szCs w:val="21"/>
                      <w:lang w:eastAsia="zh-CN" w:bidi="ar"/>
                    </w:rPr>
                  </w:pPr>
                  <w:r>
                    <w:rPr>
                      <w:rFonts w:hint="eastAsia" w:ascii="Times New Roman" w:hAnsi="Times New Roman" w:eastAsia="宋体" w:cs="Times New Roman"/>
                      <w:color w:val="auto"/>
                      <w:kern w:val="0"/>
                      <w:sz w:val="21"/>
                      <w:szCs w:val="21"/>
                      <w:lang w:eastAsia="zh-CN" w:bidi="ar"/>
                    </w:rPr>
                    <w:t>本项目附近地表水为</w:t>
                  </w:r>
                  <w:r>
                    <w:rPr>
                      <w:rFonts w:hint="eastAsia" w:eastAsia="宋体" w:cs="Times New Roman"/>
                      <w:color w:val="auto"/>
                      <w:kern w:val="0"/>
                      <w:sz w:val="21"/>
                      <w:szCs w:val="21"/>
                      <w:lang w:eastAsia="zh-CN" w:bidi="ar"/>
                    </w:rPr>
                    <w:t>嘉荫河</w:t>
                  </w:r>
                  <w:r>
                    <w:rPr>
                      <w:rFonts w:hint="eastAsia" w:ascii="Times New Roman" w:hAnsi="Times New Roman" w:eastAsia="宋体" w:cs="Times New Roman"/>
                      <w:color w:val="auto"/>
                      <w:kern w:val="0"/>
                      <w:sz w:val="21"/>
                      <w:szCs w:val="21"/>
                      <w:lang w:eastAsia="zh-CN" w:bidi="ar"/>
                    </w:rPr>
                    <w:t>，其中</w:t>
                  </w:r>
                  <w:r>
                    <w:rPr>
                      <w:rFonts w:hint="eastAsia" w:eastAsia="宋体" w:cs="Times New Roman"/>
                      <w:color w:val="auto"/>
                      <w:kern w:val="0"/>
                      <w:sz w:val="21"/>
                      <w:szCs w:val="21"/>
                      <w:lang w:eastAsia="zh-CN" w:bidi="ar"/>
                    </w:rPr>
                    <w:t>伊春</w:t>
                  </w:r>
                  <w:r>
                    <w:rPr>
                      <w:rFonts w:hint="eastAsia" w:ascii="Times New Roman" w:hAnsi="Times New Roman" w:eastAsia="宋体" w:cs="Times New Roman"/>
                      <w:color w:val="auto"/>
                      <w:kern w:val="0"/>
                      <w:sz w:val="21"/>
                      <w:szCs w:val="21"/>
                      <w:lang w:eastAsia="zh-CN" w:bidi="ar"/>
                    </w:rPr>
                    <w:t>断面规划类别均Ⅳ类水体，因此本项目地表水体</w:t>
                  </w:r>
                  <w:r>
                    <w:rPr>
                      <w:rFonts w:hint="eastAsia" w:eastAsia="宋体" w:cs="Times New Roman"/>
                      <w:color w:val="auto"/>
                      <w:kern w:val="0"/>
                      <w:sz w:val="21"/>
                      <w:szCs w:val="21"/>
                      <w:lang w:eastAsia="zh-CN" w:bidi="ar"/>
                    </w:rPr>
                    <w:t>嘉荫河</w:t>
                  </w:r>
                  <w:r>
                    <w:rPr>
                      <w:rFonts w:hint="eastAsia" w:ascii="Times New Roman" w:hAnsi="Times New Roman" w:eastAsia="宋体" w:cs="Times New Roman"/>
                      <w:color w:val="auto"/>
                      <w:kern w:val="0"/>
                      <w:sz w:val="21"/>
                      <w:szCs w:val="21"/>
                      <w:lang w:eastAsia="zh-CN" w:bidi="ar"/>
                    </w:rPr>
                    <w:t>执行《地表水环境质量标准》（</w:t>
                  </w:r>
                  <w:r>
                    <w:rPr>
                      <w:rFonts w:hint="default" w:ascii="Times New Roman" w:hAnsi="Times New Roman" w:eastAsia="宋体" w:cs="Times New Roman"/>
                      <w:color w:val="auto"/>
                      <w:kern w:val="0"/>
                      <w:sz w:val="21"/>
                      <w:szCs w:val="21"/>
                      <w:lang w:eastAsia="zh-CN" w:bidi="ar"/>
                    </w:rPr>
                    <w:t>GB3838</w:t>
                  </w:r>
                  <w:r>
                    <w:rPr>
                      <w:rFonts w:hint="eastAsia" w:ascii="Times New Roman" w:hAnsi="Times New Roman" w:eastAsia="宋体" w:cs="Times New Roman"/>
                      <w:color w:val="auto"/>
                      <w:kern w:val="0"/>
                      <w:sz w:val="21"/>
                      <w:szCs w:val="21"/>
                      <w:lang w:eastAsia="zh-CN" w:bidi="ar"/>
                    </w:rPr>
                    <w:t>-</w:t>
                  </w:r>
                  <w:r>
                    <w:rPr>
                      <w:rFonts w:hint="default" w:ascii="Times New Roman" w:hAnsi="Times New Roman" w:eastAsia="宋体" w:cs="Times New Roman"/>
                      <w:color w:val="auto"/>
                      <w:kern w:val="0"/>
                      <w:sz w:val="21"/>
                      <w:szCs w:val="21"/>
                      <w:lang w:eastAsia="zh-CN" w:bidi="ar"/>
                    </w:rPr>
                    <w:t>2002</w:t>
                  </w:r>
                  <w:r>
                    <w:rPr>
                      <w:rFonts w:hint="eastAsia" w:ascii="Times New Roman" w:hAnsi="Times New Roman" w:eastAsia="宋体" w:cs="Times New Roman"/>
                      <w:color w:val="auto"/>
                      <w:kern w:val="0"/>
                      <w:sz w:val="21"/>
                      <w:szCs w:val="21"/>
                      <w:lang w:eastAsia="zh-CN" w:bidi="ar"/>
                    </w:rPr>
                    <w:t>）Ⅳ类标准。</w:t>
                  </w:r>
                </w:p>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eastAsia="宋体" w:cs="Times New Roman"/>
                      <w:snapToGrid w:val="0"/>
                      <w:color w:val="auto"/>
                      <w:sz w:val="24"/>
                      <w:szCs w:val="24"/>
                      <w:highlight w:val="none"/>
                      <w:lang w:eastAsia="zh-CN"/>
                    </w:rPr>
                  </w:pPr>
                  <w:r>
                    <w:rPr>
                      <w:rFonts w:hint="eastAsia" w:ascii="Times New Roman" w:hAnsi="Times New Roman" w:eastAsia="宋体" w:cs="Times New Roman"/>
                      <w:color w:val="auto"/>
                      <w:kern w:val="0"/>
                      <w:sz w:val="21"/>
                      <w:szCs w:val="21"/>
                      <w:lang w:val="en-US" w:eastAsia="zh-CN" w:bidi="ar"/>
                    </w:rPr>
                    <w:t>洒水</w:t>
                  </w:r>
                  <w:r>
                    <w:rPr>
                      <w:rFonts w:hint="default" w:ascii="Times New Roman" w:hAnsi="Times New Roman" w:eastAsia="宋体" w:cs="Times New Roman"/>
                      <w:color w:val="auto"/>
                      <w:kern w:val="0"/>
                      <w:sz w:val="21"/>
                      <w:szCs w:val="21"/>
                      <w:lang w:val="en-US" w:eastAsia="zh-CN" w:bidi="ar"/>
                    </w:rPr>
                    <w:t>用水除去自然蒸发水量其余全部进入产品不外排。原料搅拌用水全部进入产品。搅拌机冲洗废水</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运输车辆</w:t>
                  </w:r>
                  <w:r>
                    <w:rPr>
                      <w:rFonts w:hint="eastAsia" w:ascii="Times New Roman" w:hAnsi="Times New Roman" w:eastAsia="宋体" w:cs="Times New Roman"/>
                      <w:color w:val="auto"/>
                      <w:kern w:val="0"/>
                      <w:sz w:val="21"/>
                      <w:szCs w:val="21"/>
                      <w:lang w:val="en-US" w:eastAsia="zh-CN" w:bidi="ar"/>
                    </w:rPr>
                    <w:t>罐车内部</w:t>
                  </w:r>
                  <w:r>
                    <w:rPr>
                      <w:rFonts w:hint="default" w:ascii="Times New Roman" w:hAnsi="Times New Roman" w:eastAsia="宋体" w:cs="Times New Roman"/>
                      <w:color w:val="auto"/>
                      <w:kern w:val="0"/>
                      <w:sz w:val="21"/>
                      <w:szCs w:val="21"/>
                      <w:lang w:val="en-US" w:eastAsia="zh-CN" w:bidi="ar"/>
                    </w:rPr>
                    <w:t>冲洗废水</w:t>
                  </w:r>
                  <w:r>
                    <w:rPr>
                      <w:rFonts w:hint="eastAsia" w:ascii="Times New Roman" w:hAnsi="Times New Roman" w:eastAsia="宋体" w:cs="Times New Roman"/>
                      <w:color w:val="auto"/>
                      <w:kern w:val="0"/>
                      <w:sz w:val="21"/>
                      <w:szCs w:val="21"/>
                      <w:lang w:val="en-US" w:eastAsia="zh-CN" w:bidi="ar"/>
                    </w:rPr>
                    <w:t>和作业带冲洗废水</w:t>
                  </w:r>
                  <w:r>
                    <w:rPr>
                      <w:rFonts w:hint="default" w:ascii="Times New Roman" w:hAnsi="Times New Roman" w:eastAsia="宋体" w:cs="Times New Roman"/>
                      <w:color w:val="auto"/>
                      <w:kern w:val="0"/>
                      <w:sz w:val="21"/>
                      <w:szCs w:val="21"/>
                      <w:lang w:val="en-US" w:eastAsia="zh-CN" w:bidi="ar"/>
                    </w:rPr>
                    <w:t>经沉淀池沉淀处理后回用于生产，初期雨水经厂区四周排水沟汇入沉淀池沉淀，</w:t>
                  </w:r>
                  <w:r>
                    <w:rPr>
                      <w:rFonts w:hint="eastAsia" w:cs="Times New Roman"/>
                      <w:color w:val="auto"/>
                      <w:kern w:val="0"/>
                      <w:sz w:val="21"/>
                      <w:szCs w:val="21"/>
                      <w:lang w:val="en-US" w:eastAsia="zh-CN" w:bidi="ar"/>
                    </w:rPr>
                    <w:t>回用于生产</w:t>
                  </w:r>
                  <w:r>
                    <w:rPr>
                      <w:rFonts w:hint="eastAsia" w:ascii="Times New Roman" w:hAnsi="Times New Roman" w:eastAsia="宋体" w:cs="Times New Roman"/>
                      <w:color w:val="auto"/>
                      <w:kern w:val="0"/>
                      <w:sz w:val="21"/>
                      <w:szCs w:val="21"/>
                      <w:lang w:val="en-US" w:eastAsia="zh-CN" w:bidi="ar"/>
                    </w:rPr>
                    <w:t>，不外排。</w:t>
                  </w:r>
                  <w:r>
                    <w:rPr>
                      <w:rFonts w:hint="default" w:ascii="Times New Roman" w:hAnsi="Times New Roman" w:eastAsia="宋体" w:cs="Times New Roman"/>
                      <w:color w:val="auto"/>
                      <w:kern w:val="0"/>
                      <w:sz w:val="21"/>
                      <w:szCs w:val="21"/>
                      <w:lang w:val="en-US" w:eastAsia="zh-CN" w:bidi="ar"/>
                    </w:rPr>
                    <w:t>故本项目无生产废水外排。生活污水排入厂区防渗</w:t>
                  </w:r>
                  <w:r>
                    <w:rPr>
                      <w:rFonts w:hint="eastAsia" w:ascii="Times New Roman" w:hAnsi="Times New Roman" w:eastAsia="宋体" w:cs="Times New Roman"/>
                      <w:color w:val="auto"/>
                      <w:kern w:val="0"/>
                      <w:sz w:val="21"/>
                      <w:szCs w:val="21"/>
                      <w:lang w:val="en-US" w:eastAsia="zh-CN" w:bidi="ar"/>
                    </w:rPr>
                    <w:t>旱厕</w:t>
                  </w:r>
                  <w:r>
                    <w:rPr>
                      <w:rFonts w:hint="default" w:ascii="Times New Roman" w:hAnsi="Times New Roman" w:eastAsia="宋体" w:cs="Times New Roman"/>
                      <w:color w:val="auto"/>
                      <w:kern w:val="0"/>
                      <w:sz w:val="21"/>
                      <w:szCs w:val="21"/>
                      <w:lang w:val="en-US" w:eastAsia="zh-CN" w:bidi="ar"/>
                    </w:rPr>
                    <w:t>，定期清掏堆肥，不外排。</w:t>
                  </w:r>
                  <w:r>
                    <w:rPr>
                      <w:rFonts w:hint="eastAsia" w:ascii="Times New Roman" w:hAnsi="Times New Roman" w:eastAsia="宋体" w:cs="Times New Roman"/>
                      <w:color w:val="auto"/>
                      <w:kern w:val="0"/>
                      <w:sz w:val="21"/>
                      <w:szCs w:val="21"/>
                      <w:lang w:val="en-US" w:eastAsia="zh-CN" w:bidi="ar"/>
                    </w:rPr>
                    <w:t>不会地表水环境产生影响，项目建设符合地表水环境质量底线要求。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80" w:type="dxa"/>
                  <w:gridSpan w:val="3"/>
                  <w:tcBorders>
                    <w:tl2br w:val="nil"/>
                    <w:tr2bl w:val="nil"/>
                  </w:tcBorders>
                  <w:vAlign w:val="center"/>
                </w:tcPr>
                <w:p>
                  <w:pPr>
                    <w:pStyle w:val="175"/>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三、资源利用上线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pPr>
                    <w:pStyle w:val="175"/>
                    <w:jc w:val="both"/>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水资源（一般管控区）</w:t>
                  </w:r>
                </w:p>
              </w:tc>
              <w:tc>
                <w:tcPr>
                  <w:tcW w:w="3813" w:type="dxa"/>
                  <w:tcBorders>
                    <w:tl2br w:val="nil"/>
                    <w:tr2bl w:val="nil"/>
                  </w:tcBorders>
                  <w:vAlign w:val="center"/>
                </w:tcPr>
                <w:p>
                  <w:pPr>
                    <w:pStyle w:val="175"/>
                    <w:jc w:val="both"/>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严格控制水资源消耗总量和强度，加快完成江河流域水量分配、生态流量保障实施方案工作，推进水权确权。（2）积极推进节水型社会达标建设，限制高耗水工业项目建设和高耗水服务业发展，遏制农业粗放用水，强化用水定额管理，加大农业节水力度，加大工业节水技术改造。（3）各级水行政主管部门要按照确定的地下水水位控制指标，加强水位动态监控。（4）建立用水单位重点监控名录，实施计划用水管理。（5）建立健全规划和建设项目水资源论证制度，完善规划水资源论证相关政策措施。市县重点推进重大产业布局和各类开发区规划水资源论证，严格建设项目水资源论证，对未依法完成水资源论证工作的建设项目，建设单位不得擅自开工建设和投产使用。</w:t>
                  </w:r>
                </w:p>
              </w:tc>
              <w:tc>
                <w:tcPr>
                  <w:tcW w:w="2249" w:type="dxa"/>
                  <w:tcBorders>
                    <w:tl2br w:val="nil"/>
                    <w:tr2bl w:val="nil"/>
                  </w:tcBorders>
                  <w:vAlign w:val="center"/>
                </w:tcPr>
                <w:p>
                  <w:pPr>
                    <w:pStyle w:val="175"/>
                    <w:jc w:val="both"/>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本项目在运营过程中消耗一定量的水资源，但水资源消耗量相对于区域资源利用总量较小，符合资源利用上线要求。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pPr>
                    <w:pStyle w:val="175"/>
                    <w:jc w:val="both"/>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土地资源（一般管控区）</w:t>
                  </w:r>
                </w:p>
              </w:tc>
              <w:tc>
                <w:tcPr>
                  <w:tcW w:w="3813" w:type="dxa"/>
                  <w:tcBorders>
                    <w:tl2br w:val="nil"/>
                    <w:tr2bl w:val="nil"/>
                  </w:tcBorders>
                  <w:vAlign w:val="center"/>
                </w:tcPr>
                <w:p>
                  <w:pPr>
                    <w:pStyle w:val="175"/>
                    <w:jc w:val="both"/>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针对土地资源一般管控区，坚持最严格的节约用地制度，提高土地利用节约集约水平。优化建设用地布局，严格划定城市开发边界，统筹区域发展、统筹城乡发展，统筹安排生产、生活、生态用地，引导形成合理的空间开发格局。——黑土地。一是重点保护类黑土地应保持和提高土壤肥力，通过土壤改良、地力培肥和治理修复，有效遏制黑土地退化，持续提升黑土耕地质量，改善黑土区生态环境；二是质量严重退化或者污染严重的黑土地，应当实行轮耕、休耕或者退耕还林、还草、还湿以及采取土壤工程技术等污染防治措施推进连片治理；三是整合黑土保护技术，分类推广成熟黑土耕地保护模式，针对不同类型区域，开展差异化的黑土耕地保护治理工作；四是加快农村土地流转，促进适度规模经营及黑土地的集中连片治理，提升修复治理效率。</w:t>
                  </w:r>
                </w:p>
              </w:tc>
              <w:tc>
                <w:tcPr>
                  <w:tcW w:w="2249" w:type="dxa"/>
                  <w:tcBorders>
                    <w:tl2br w:val="nil"/>
                    <w:tr2bl w:val="nil"/>
                  </w:tcBorders>
                  <w:vAlign w:val="center"/>
                </w:tcPr>
                <w:p>
                  <w:pPr>
                    <w:pStyle w:val="175"/>
                    <w:jc w:val="both"/>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本项目位于</w:t>
                  </w:r>
                  <w:r>
                    <w:rPr>
                      <w:rFonts w:hint="eastAsia" w:eastAsia="宋体" w:cs="Times New Roman"/>
                      <w:color w:val="auto"/>
                      <w:kern w:val="0"/>
                      <w:sz w:val="21"/>
                      <w:szCs w:val="21"/>
                      <w:lang w:eastAsia="zh-CN" w:bidi="ar"/>
                    </w:rPr>
                    <w:t>伊春市嘉荫县旧城村</w:t>
                  </w:r>
                  <w:r>
                    <w:rPr>
                      <w:rFonts w:hint="eastAsia" w:ascii="Times New Roman" w:hAnsi="Times New Roman" w:eastAsia="宋体" w:cs="Times New Roman"/>
                      <w:color w:val="auto"/>
                      <w:kern w:val="0"/>
                      <w:sz w:val="21"/>
                      <w:szCs w:val="21"/>
                      <w:lang w:eastAsia="zh-CN" w:bidi="ar"/>
                    </w:rPr>
                    <w:t>，</w:t>
                  </w:r>
                  <w:r>
                    <w:rPr>
                      <w:rFonts w:hint="default" w:ascii="Times New Roman" w:hAnsi="Times New Roman" w:eastAsia="宋体" w:cs="Times New Roman"/>
                      <w:color w:val="auto"/>
                      <w:kern w:val="0"/>
                      <w:sz w:val="21"/>
                      <w:szCs w:val="21"/>
                      <w:lang w:bidi="ar"/>
                    </w:rPr>
                    <w:t>本项目为</w:t>
                  </w:r>
                  <w:r>
                    <w:rPr>
                      <w:rFonts w:hint="eastAsia" w:eastAsia="宋体" w:cs="Times New Roman"/>
                      <w:color w:val="auto"/>
                      <w:kern w:val="0"/>
                      <w:sz w:val="21"/>
                      <w:szCs w:val="21"/>
                      <w:lang w:eastAsia="zh-CN" w:bidi="ar"/>
                    </w:rPr>
                    <w:t>工业</w:t>
                  </w:r>
                  <w:r>
                    <w:rPr>
                      <w:rFonts w:hint="default" w:ascii="Times New Roman" w:hAnsi="Times New Roman" w:eastAsia="宋体" w:cs="Times New Roman"/>
                      <w:color w:val="auto"/>
                      <w:kern w:val="0"/>
                      <w:sz w:val="21"/>
                      <w:szCs w:val="21"/>
                      <w:lang w:bidi="ar"/>
                    </w:rPr>
                    <w:t>用地，不涉及黑土地的占用。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pPr>
                    <w:pStyle w:val="175"/>
                    <w:jc w:val="both"/>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能源利用上线</w:t>
                  </w:r>
                </w:p>
              </w:tc>
              <w:tc>
                <w:tcPr>
                  <w:tcW w:w="3813" w:type="dxa"/>
                  <w:tcBorders>
                    <w:tl2br w:val="nil"/>
                    <w:tr2bl w:val="nil"/>
                  </w:tcBorders>
                  <w:vAlign w:val="center"/>
                </w:tcPr>
                <w:p>
                  <w:pPr>
                    <w:pStyle w:val="175"/>
                    <w:jc w:val="both"/>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（1）夯实能源共赢基础（2）引导能源绿色低碳利用（3）推动能源技术创新（4）加强对俄能源合作</w:t>
                  </w:r>
                </w:p>
              </w:tc>
              <w:tc>
                <w:tcPr>
                  <w:tcW w:w="2249" w:type="dxa"/>
                  <w:tcBorders>
                    <w:tl2br w:val="nil"/>
                    <w:tr2bl w:val="nil"/>
                  </w:tcBorders>
                  <w:vAlign w:val="center"/>
                </w:tcPr>
                <w:p>
                  <w:pPr>
                    <w:pStyle w:val="175"/>
                    <w:jc w:val="both"/>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本项目主要消耗电能，为绿色能源。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80" w:type="dxa"/>
                  <w:gridSpan w:val="3"/>
                  <w:tcBorders>
                    <w:tl2br w:val="nil"/>
                    <w:tr2bl w:val="nil"/>
                  </w:tcBorders>
                  <w:vAlign w:val="center"/>
                </w:tcPr>
                <w:p>
                  <w:pPr>
                    <w:pStyle w:val="175"/>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四、环境准入清单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pPr>
                    <w:pStyle w:val="175"/>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环境管控单元名称</w:t>
                  </w:r>
                </w:p>
              </w:tc>
              <w:tc>
                <w:tcPr>
                  <w:tcW w:w="6062" w:type="dxa"/>
                  <w:gridSpan w:val="2"/>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eastAsia"/>
                      <w:color w:val="auto"/>
                      <w:szCs w:val="21"/>
                      <w:highlight w:val="none"/>
                      <w:lang w:eastAsia="zh-CN" w:bidi="ar"/>
                    </w:rPr>
                    <w:t>嘉荫县其他区域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pPr>
                    <w:pStyle w:val="175"/>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环境管控单元编码</w:t>
                  </w:r>
                </w:p>
              </w:tc>
              <w:tc>
                <w:tcPr>
                  <w:tcW w:w="6062" w:type="dxa"/>
                  <w:gridSpan w:val="2"/>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highlight w:val="none"/>
                      <w:lang w:bidi="ar"/>
                    </w:rPr>
                    <w:t>ZH230</w:t>
                  </w:r>
                  <w:r>
                    <w:rPr>
                      <w:rFonts w:hint="eastAsia" w:cs="Times New Roman"/>
                      <w:color w:val="auto"/>
                      <w:kern w:val="0"/>
                      <w:szCs w:val="21"/>
                      <w:highlight w:val="none"/>
                      <w:lang w:val="en-US" w:eastAsia="zh-CN" w:bidi="ar"/>
                    </w:rPr>
                    <w:t>72230002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pPr>
                    <w:pStyle w:val="175"/>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管控单元类别</w:t>
                  </w:r>
                </w:p>
              </w:tc>
              <w:tc>
                <w:tcPr>
                  <w:tcW w:w="6062" w:type="dxa"/>
                  <w:gridSpan w:val="2"/>
                  <w:tcBorders>
                    <w:tl2br w:val="nil"/>
                    <w:tr2bl w:val="nil"/>
                  </w:tcBorders>
                  <w:vAlign w:val="center"/>
                </w:tcPr>
                <w:p>
                  <w:pPr>
                    <w:pStyle w:val="184"/>
                    <w:rPr>
                      <w:rFonts w:hint="default" w:ascii="Times New Roman" w:hAnsi="Times New Roman" w:eastAsia="宋体" w:cs="Times New Roman"/>
                      <w:color w:val="auto"/>
                      <w:kern w:val="0"/>
                      <w:sz w:val="21"/>
                      <w:szCs w:val="21"/>
                      <w:lang w:bidi="ar"/>
                    </w:rPr>
                  </w:pPr>
                  <w:r>
                    <w:rPr>
                      <w:rFonts w:hint="eastAsia" w:ascii="Times New Roman" w:hAnsi="Times New Roman"/>
                      <w:color w:val="auto"/>
                      <w:highlight w:val="none"/>
                      <w:lang w:eastAsia="zh-CN"/>
                    </w:rPr>
                    <w:t>一般</w:t>
                  </w:r>
                  <w:r>
                    <w:rPr>
                      <w:rFonts w:ascii="Times New Roman" w:hAnsi="Times New Roman"/>
                      <w:color w:val="auto"/>
                      <w:highlight w:val="none"/>
                    </w:rPr>
                    <w:t>管控单元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031" w:type="dxa"/>
                  <w:gridSpan w:val="2"/>
                  <w:tcBorders>
                    <w:tl2br w:val="nil"/>
                    <w:tr2bl w:val="nil"/>
                  </w:tcBorders>
                  <w:vAlign w:val="center"/>
                </w:tcPr>
                <w:p>
                  <w:pPr>
                    <w:pStyle w:val="175"/>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管控要求</w:t>
                  </w:r>
                </w:p>
              </w:tc>
              <w:tc>
                <w:tcPr>
                  <w:tcW w:w="2249" w:type="dxa"/>
                  <w:tcBorders>
                    <w:tl2br w:val="nil"/>
                    <w:tr2bl w:val="nil"/>
                  </w:tcBorders>
                  <w:vAlign w:val="center"/>
                </w:tcPr>
                <w:p>
                  <w:pPr>
                    <w:pStyle w:val="175"/>
                    <w:rPr>
                      <w:rFonts w:hint="default" w:ascii="Times New Roman" w:hAnsi="Times New Roman" w:eastAsia="宋体" w:cs="Times New Roman"/>
                      <w:color w:val="auto"/>
                      <w:kern w:val="0"/>
                      <w:sz w:val="21"/>
                      <w:szCs w:val="21"/>
                      <w:highlight w:val="yellow"/>
                      <w:lang w:bidi="ar"/>
                    </w:rPr>
                  </w:pPr>
                  <w:r>
                    <w:rPr>
                      <w:rFonts w:hint="default" w:ascii="Times New Roman" w:hAnsi="Times New Roman" w:eastAsia="宋体" w:cs="Times New Roman"/>
                      <w:b/>
                      <w:bCs/>
                      <w:color w:val="auto"/>
                      <w:kern w:val="0"/>
                      <w:sz w:val="21"/>
                      <w:szCs w:val="21"/>
                      <w:highlight w:val="none"/>
                      <w:lang w:bidi="ar"/>
                    </w:rPr>
                    <w:t>项目符合性分析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pPr>
                    <w:pStyle w:val="175"/>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空间布局约束</w:t>
                  </w:r>
                </w:p>
              </w:tc>
              <w:tc>
                <w:tcPr>
                  <w:tcW w:w="3813" w:type="dxa"/>
                  <w:tcBorders>
                    <w:tl2br w:val="nil"/>
                    <w:tr2bl w:val="nil"/>
                  </w:tcBorders>
                  <w:vAlign w:val="center"/>
                </w:tcPr>
                <w:p>
                  <w:pPr>
                    <w:keepNext w:val="0"/>
                    <w:keepLines w:val="0"/>
                    <w:widowControl/>
                    <w:suppressLineNumbers w:val="0"/>
                    <w:jc w:val="left"/>
                    <w:rPr>
                      <w:rFonts w:hint="default"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r>
                    <w:rPr>
                      <w:rFonts w:hint="default" w:ascii="宋体" w:hAnsi="宋体" w:eastAsia="宋体" w:cs="宋体"/>
                      <w:color w:val="auto"/>
                      <w:kern w:val="0"/>
                      <w:sz w:val="21"/>
                      <w:szCs w:val="21"/>
                      <w:lang w:val="en-US" w:eastAsia="zh-CN" w:bidi="ar"/>
                    </w:rPr>
                    <w:t>.空间布局约束 1.引导工业项目向开发区集中，促进产业集聚、资源集约、绿色发展。 2.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2249" w:type="dxa"/>
                  <w:tcBorders>
                    <w:tl2br w:val="nil"/>
                    <w:tr2bl w:val="nil"/>
                  </w:tcBorders>
                  <w:vAlign w:val="center"/>
                </w:tcPr>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本项目位于</w:t>
                  </w:r>
                  <w:r>
                    <w:rPr>
                      <w:rFonts w:hint="eastAsia" w:cs="Times New Roman"/>
                      <w:color w:val="auto"/>
                      <w:kern w:val="0"/>
                      <w:sz w:val="21"/>
                      <w:szCs w:val="21"/>
                      <w:lang w:val="en-US" w:eastAsia="zh-CN" w:bidi="ar"/>
                    </w:rPr>
                    <w:t>伊春市嘉荫县旧城村</w:t>
                  </w:r>
                  <w:r>
                    <w:rPr>
                      <w:rFonts w:hint="default" w:ascii="Times New Roman" w:hAnsi="Times New Roman" w:eastAsia="宋体" w:cs="Times New Roman"/>
                      <w:color w:val="auto"/>
                      <w:kern w:val="0"/>
                      <w:sz w:val="21"/>
                      <w:szCs w:val="21"/>
                      <w:lang w:val="en-US" w:eastAsia="zh-CN" w:bidi="ar"/>
                    </w:rPr>
                    <w:t>，行业类别属于C3021水泥制品制造，本项目混凝土不属于淘汰产品，因此符合空间布局约束要求。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pPr>
                    <w:pStyle w:val="175"/>
                    <w:rPr>
                      <w:rFonts w:hint="default" w:ascii="Times New Roman" w:hAnsi="Times New Roman" w:eastAsia="宋体" w:cs="Times New Roman"/>
                      <w:b/>
                      <w:bCs/>
                      <w:color w:val="auto"/>
                      <w:kern w:val="0"/>
                      <w:sz w:val="21"/>
                      <w:szCs w:val="21"/>
                      <w:lang w:bidi="ar"/>
                    </w:rPr>
                  </w:pPr>
                </w:p>
              </w:tc>
              <w:tc>
                <w:tcPr>
                  <w:tcW w:w="3813" w:type="dxa"/>
                  <w:tcBorders>
                    <w:tl2br w:val="nil"/>
                    <w:tr2bl w:val="nil"/>
                  </w:tcBorders>
                  <w:vAlign w:val="center"/>
                </w:tcPr>
                <w:p>
                  <w:pPr>
                    <w:keepNext w:val="0"/>
                    <w:keepLines w:val="0"/>
                    <w:widowControl/>
                    <w:suppressLineNumbers w:val="0"/>
                    <w:jc w:val="left"/>
                    <w:rPr>
                      <w:rFonts w:hint="default" w:ascii="宋体" w:hAnsi="宋体" w:eastAsia="宋体" w:cs="宋体"/>
                      <w:color w:val="auto"/>
                      <w:kern w:val="0"/>
                      <w:sz w:val="21"/>
                      <w:szCs w:val="21"/>
                      <w:lang w:val="en-US" w:eastAsia="zh-CN" w:bidi="ar"/>
                    </w:rPr>
                  </w:pPr>
                  <w:r>
                    <w:rPr>
                      <w:rFonts w:hint="default" w:ascii="宋体" w:hAnsi="宋体" w:eastAsia="宋体" w:cs="宋体"/>
                      <w:color w:val="auto"/>
                      <w:kern w:val="0"/>
                      <w:sz w:val="21"/>
                      <w:szCs w:val="21"/>
                      <w:lang w:val="en-US" w:eastAsia="zh-CN" w:bidi="ar"/>
                    </w:rPr>
                    <w:t xml:space="preserve">二、污染物排放管控 </w:t>
                  </w:r>
                </w:p>
                <w:p>
                  <w:pPr>
                    <w:keepNext w:val="0"/>
                    <w:keepLines w:val="0"/>
                    <w:widowControl/>
                    <w:suppressLineNumbers w:val="0"/>
                    <w:jc w:val="left"/>
                    <w:rPr>
                      <w:rFonts w:hint="default" w:ascii="宋体" w:hAnsi="宋体" w:eastAsia="宋体" w:cs="宋体"/>
                      <w:color w:val="auto"/>
                      <w:kern w:val="0"/>
                      <w:sz w:val="21"/>
                      <w:szCs w:val="21"/>
                      <w:lang w:val="en-US" w:eastAsia="zh-CN" w:bidi="ar"/>
                    </w:rPr>
                  </w:pPr>
                  <w:r>
                    <w:rPr>
                      <w:rFonts w:hint="eastAsia" w:cs="Times New Roman"/>
                      <w:color w:val="auto"/>
                      <w:kern w:val="0"/>
                      <w:sz w:val="21"/>
                      <w:szCs w:val="21"/>
                      <w:lang w:val="en-US" w:eastAsia="zh-CN" w:bidi="ar"/>
                    </w:rPr>
                    <w:t>/</w:t>
                  </w:r>
                </w:p>
              </w:tc>
              <w:tc>
                <w:tcPr>
                  <w:tcW w:w="2249"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pPr>
                    <w:pStyle w:val="175"/>
                    <w:rPr>
                      <w:rFonts w:hint="default" w:ascii="Times New Roman" w:hAnsi="Times New Roman" w:eastAsia="宋体" w:cs="Times New Roman"/>
                      <w:b/>
                      <w:bCs/>
                      <w:color w:val="auto"/>
                      <w:kern w:val="0"/>
                      <w:sz w:val="21"/>
                      <w:szCs w:val="21"/>
                      <w:lang w:bidi="ar"/>
                    </w:rPr>
                  </w:pPr>
                </w:p>
              </w:tc>
              <w:tc>
                <w:tcPr>
                  <w:tcW w:w="3813" w:type="dxa"/>
                  <w:tcBorders>
                    <w:tl2br w:val="nil"/>
                    <w:tr2bl w:val="nil"/>
                  </w:tcBorders>
                  <w:vAlign w:val="center"/>
                </w:tcPr>
                <w:p>
                  <w:pPr>
                    <w:keepNext w:val="0"/>
                    <w:keepLines w:val="0"/>
                    <w:widowControl/>
                    <w:suppressLineNumbers w:val="0"/>
                    <w:jc w:val="left"/>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 xml:space="preserve">三、环境风险防控 </w:t>
                  </w:r>
                </w:p>
                <w:p>
                  <w:pPr>
                    <w:keepNext w:val="0"/>
                    <w:keepLines w:val="0"/>
                    <w:widowControl/>
                    <w:suppressLineNumbers w:val="0"/>
                    <w:jc w:val="left"/>
                    <w:rPr>
                      <w:rFonts w:hint="default" w:ascii="宋体" w:hAnsi="宋体" w:eastAsia="宋体" w:cs="宋体"/>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2249"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18" w:type="dxa"/>
                  <w:tcBorders>
                    <w:tl2br w:val="nil"/>
                    <w:tr2bl w:val="nil"/>
                  </w:tcBorders>
                  <w:vAlign w:val="center"/>
                </w:tcPr>
                <w:p>
                  <w:pPr>
                    <w:pStyle w:val="175"/>
                    <w:rPr>
                      <w:rFonts w:hint="default" w:ascii="Times New Roman" w:hAnsi="Times New Roman" w:eastAsia="宋体" w:cs="Times New Roman"/>
                      <w:b/>
                      <w:bCs/>
                      <w:color w:val="auto"/>
                      <w:kern w:val="0"/>
                      <w:sz w:val="21"/>
                      <w:szCs w:val="21"/>
                      <w:lang w:bidi="ar"/>
                    </w:rPr>
                  </w:pPr>
                </w:p>
              </w:tc>
              <w:tc>
                <w:tcPr>
                  <w:tcW w:w="3813" w:type="dxa"/>
                  <w:tcBorders>
                    <w:tl2br w:val="nil"/>
                    <w:tr2bl w:val="nil"/>
                  </w:tcBorders>
                  <w:vAlign w:val="center"/>
                </w:tcPr>
                <w:p>
                  <w:pPr>
                    <w:keepNext w:val="0"/>
                    <w:keepLines w:val="0"/>
                    <w:widowControl/>
                    <w:suppressLineNumbers w:val="0"/>
                    <w:jc w:val="left"/>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 xml:space="preserve">四、资源开发效率要求 </w:t>
                  </w:r>
                </w:p>
                <w:p>
                  <w:pPr>
                    <w:keepNext w:val="0"/>
                    <w:keepLines w:val="0"/>
                    <w:widowControl/>
                    <w:suppressLineNumbers w:val="0"/>
                    <w:jc w:val="left"/>
                    <w:rPr>
                      <w:rFonts w:hint="default" w:ascii="宋体" w:hAnsi="宋体" w:eastAsia="宋体" w:cs="宋体"/>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2249"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r>
          </w:tbl>
          <w:p>
            <w:pPr>
              <w:pStyle w:val="9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val="0"/>
                <w:bCs w:val="0"/>
                <w:snapToGrid w:val="0"/>
                <w:color w:val="auto"/>
                <w:kern w:val="0"/>
                <w:sz w:val="24"/>
                <w:szCs w:val="21"/>
                <w:highlight w:val="none"/>
                <w:lang w:val="en-US" w:eastAsia="zh-CN" w:bidi="ar-SA"/>
              </w:rPr>
            </w:pP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eastAsia="宋体" w:cs="Times New Roman"/>
                <w:b w:val="0"/>
                <w:bCs w:val="0"/>
                <w:snapToGrid w:val="0"/>
                <w:color w:val="auto"/>
                <w:kern w:val="0"/>
                <w:sz w:val="24"/>
                <w:szCs w:val="21"/>
                <w:highlight w:val="none"/>
                <w:lang w:val="en-US" w:eastAsia="zh-CN" w:bidi="ar-SA"/>
              </w:rPr>
              <w:t>3</w:t>
            </w:r>
            <w:r>
              <w:rPr>
                <w:rFonts w:hint="eastAsia" w:ascii="Times New Roman" w:hAnsi="Times New Roman" w:eastAsia="宋体" w:cs="Times New Roman"/>
                <w:b w:val="0"/>
                <w:bCs w:val="0"/>
                <w:snapToGrid w:val="0"/>
                <w:color w:val="auto"/>
                <w:kern w:val="0"/>
                <w:sz w:val="24"/>
                <w:szCs w:val="21"/>
                <w:highlight w:val="none"/>
                <w:lang w:val="en-US" w:eastAsia="zh-CN" w:bidi="ar-SA"/>
              </w:rPr>
              <w:t>）“一说明”</w:t>
            </w:r>
          </w:p>
          <w:p>
            <w:pPr>
              <w:pStyle w:val="17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val="0"/>
                <w:bCs w:val="0"/>
                <w:snapToGrid w:val="0"/>
                <w:color w:val="auto"/>
                <w:kern w:val="0"/>
                <w:sz w:val="24"/>
                <w:szCs w:val="21"/>
                <w:highlight w:val="none"/>
                <w:lang w:val="en-US" w:eastAsia="zh-CN" w:bidi="ar-SA"/>
              </w:rPr>
            </w:pPr>
            <w:r>
              <w:rPr>
                <w:rFonts w:hint="eastAsia" w:ascii="Times New Roman" w:hAnsi="Times New Roman" w:eastAsia="宋体" w:cs="Times New Roman"/>
                <w:b w:val="0"/>
                <w:bCs w:val="0"/>
                <w:snapToGrid w:val="0"/>
                <w:color w:val="auto"/>
                <w:kern w:val="0"/>
                <w:sz w:val="24"/>
                <w:szCs w:val="21"/>
                <w:highlight w:val="none"/>
                <w:lang w:val="en-US" w:eastAsia="zh-CN" w:bidi="ar-SA"/>
              </w:rPr>
              <w:t>由上表可知，本项目的建设符合《</w:t>
            </w:r>
            <w:r>
              <w:rPr>
                <w:rFonts w:hint="eastAsia" w:eastAsia="宋体" w:cs="Times New Roman"/>
                <w:b w:val="0"/>
                <w:bCs w:val="0"/>
                <w:snapToGrid w:val="0"/>
                <w:color w:val="auto"/>
                <w:kern w:val="0"/>
                <w:sz w:val="24"/>
                <w:szCs w:val="21"/>
                <w:highlight w:val="none"/>
                <w:lang w:val="en-US" w:eastAsia="zh-CN" w:bidi="ar-SA"/>
              </w:rPr>
              <w:t>伊春</w:t>
            </w:r>
            <w:r>
              <w:rPr>
                <w:rFonts w:hint="eastAsia" w:ascii="Times New Roman" w:hAnsi="Times New Roman" w:eastAsia="宋体" w:cs="Times New Roman"/>
                <w:b w:val="0"/>
                <w:bCs w:val="0"/>
                <w:snapToGrid w:val="0"/>
                <w:color w:val="auto"/>
                <w:kern w:val="0"/>
                <w:sz w:val="24"/>
                <w:szCs w:val="21"/>
                <w:highlight w:val="none"/>
                <w:lang w:val="en-US" w:eastAsia="zh-CN" w:bidi="ar-SA"/>
              </w:rPr>
              <w:t>市人民政府关于实施“三线一单”生态环境分区管控的意见》（</w:t>
            </w:r>
            <w:r>
              <w:rPr>
                <w:rFonts w:hint="eastAsia" w:eastAsia="宋体" w:cs="Times New Roman"/>
                <w:b w:val="0"/>
                <w:bCs w:val="0"/>
                <w:snapToGrid w:val="0"/>
                <w:color w:val="auto"/>
                <w:kern w:val="0"/>
                <w:sz w:val="24"/>
                <w:szCs w:val="21"/>
                <w:highlight w:val="none"/>
                <w:lang w:val="en-US" w:eastAsia="zh-CN" w:bidi="ar-SA"/>
              </w:rPr>
              <w:t>伊政规〔2022〕5号</w:t>
            </w:r>
            <w:r>
              <w:rPr>
                <w:rFonts w:hint="eastAsia" w:ascii="Times New Roman" w:hAnsi="Times New Roman" w:eastAsia="宋体" w:cs="Times New Roman"/>
                <w:b w:val="0"/>
                <w:bCs w:val="0"/>
                <w:snapToGrid w:val="0"/>
                <w:color w:val="auto"/>
                <w:kern w:val="0"/>
                <w:sz w:val="24"/>
                <w:szCs w:val="21"/>
                <w:highlight w:val="none"/>
                <w:lang w:val="en-US" w:eastAsia="zh-CN" w:bidi="ar-SA"/>
              </w:rPr>
              <w:t>）和《关于发布</w:t>
            </w:r>
            <w:r>
              <w:rPr>
                <w:rFonts w:hint="eastAsia" w:eastAsia="宋体" w:cs="Times New Roman"/>
                <w:b w:val="0"/>
                <w:bCs w:val="0"/>
                <w:snapToGrid w:val="0"/>
                <w:color w:val="auto"/>
                <w:kern w:val="0"/>
                <w:sz w:val="24"/>
                <w:szCs w:val="21"/>
                <w:highlight w:val="none"/>
                <w:lang w:val="en-US" w:eastAsia="zh-CN" w:bidi="ar-SA"/>
              </w:rPr>
              <w:t>伊春</w:t>
            </w:r>
            <w:r>
              <w:rPr>
                <w:rFonts w:hint="eastAsia" w:ascii="Times New Roman" w:hAnsi="Times New Roman" w:eastAsia="宋体" w:cs="Times New Roman"/>
                <w:b w:val="0"/>
                <w:bCs w:val="0"/>
                <w:snapToGrid w:val="0"/>
                <w:color w:val="auto"/>
                <w:kern w:val="0"/>
                <w:sz w:val="24"/>
                <w:szCs w:val="21"/>
                <w:highlight w:val="none"/>
                <w:lang w:val="en-US" w:eastAsia="zh-CN" w:bidi="ar-SA"/>
              </w:rPr>
              <w:t>市生态环境准入清单（2023年版）的通知》及黑龙江省生态环境分区管控数据应用平台数据相关要求。</w:t>
            </w:r>
          </w:p>
          <w:p>
            <w:pPr>
              <w:pStyle w:val="9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val="0"/>
                <w:bCs w:val="0"/>
                <w:snapToGrid w:val="0"/>
                <w:color w:val="auto"/>
                <w:kern w:val="0"/>
                <w:sz w:val="24"/>
                <w:szCs w:val="21"/>
                <w:highlight w:val="none"/>
                <w:lang w:val="en-US" w:eastAsia="zh-CN" w:bidi="ar-SA"/>
              </w:rPr>
            </w:pP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黑龙江省龙建路桥第二工程有限公司嘉荫分公司商品混凝土搅拌站建设项目位置涉及伊春市嘉荫县；项目占地总面积小于 0.01平方公里。 </w:t>
            </w:r>
          </w:p>
          <w:p>
            <w:pPr>
              <w:pStyle w:val="9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val="0"/>
                <w:bCs w:val="0"/>
                <w:snapToGrid w:val="0"/>
                <w:color w:val="auto"/>
                <w:kern w:val="0"/>
                <w:sz w:val="24"/>
                <w:szCs w:val="21"/>
                <w:highlight w:val="none"/>
                <w:lang w:val="en-US" w:eastAsia="zh-CN" w:bidi="ar-SA"/>
              </w:rPr>
            </w:pP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与生态保护红线交集面积为 0.00 平方公里，占项目占地面积的 0.00%。 </w:t>
            </w:r>
          </w:p>
          <w:p>
            <w:pPr>
              <w:pStyle w:val="9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val="0"/>
                <w:bCs w:val="0"/>
                <w:snapToGrid w:val="0"/>
                <w:color w:val="auto"/>
                <w:kern w:val="0"/>
                <w:sz w:val="24"/>
                <w:szCs w:val="21"/>
                <w:highlight w:val="none"/>
                <w:lang w:val="en-US" w:eastAsia="zh-CN" w:bidi="ar-SA"/>
              </w:rPr>
            </w:pP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与自然保护地整合优化方案数据交集面积为 0.00 平方公里，占项目占地面积的 0.00%。保护地涉及等类型。与自然保护地（现状管理数据）交集面积为 0.00 平方公里，占项目占地面积的 0.00%。保护地涉及等类型。 </w:t>
            </w:r>
          </w:p>
          <w:p>
            <w:pPr>
              <w:pStyle w:val="9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val="0"/>
                <w:bCs w:val="0"/>
                <w:snapToGrid w:val="0"/>
                <w:color w:val="auto"/>
                <w:kern w:val="0"/>
                <w:sz w:val="24"/>
                <w:szCs w:val="21"/>
                <w:highlight w:val="none"/>
                <w:lang w:val="en-US" w:eastAsia="zh-CN" w:bidi="ar-SA"/>
              </w:rPr>
            </w:pP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与饮用水水源保护区交集面积为 0.00 平方公里，占项目占地面积的 0.00%。与国家级水产种质资源保护区交集面积为 0.00 平方公里，占项目占地面积的 0.00%。 </w:t>
            </w:r>
          </w:p>
          <w:p>
            <w:pPr>
              <w:pStyle w:val="9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val="0"/>
                <w:bCs w:val="0"/>
                <w:snapToGrid w:val="0"/>
                <w:color w:val="auto"/>
                <w:kern w:val="0"/>
                <w:sz w:val="24"/>
                <w:szCs w:val="21"/>
                <w:highlight w:val="none"/>
                <w:lang w:val="en-US" w:eastAsia="zh-CN" w:bidi="ar-SA"/>
              </w:rPr>
            </w:pPr>
            <w:r>
              <w:rPr>
                <w:rFonts w:hint="eastAsia" w:ascii="Times New Roman" w:hAnsi="Times New Roman" w:eastAsia="宋体" w:cs="Times New Roman"/>
                <w:b w:val="0"/>
                <w:bCs w:val="0"/>
                <w:snapToGrid w:val="0"/>
                <w:color w:val="auto"/>
                <w:kern w:val="0"/>
                <w:sz w:val="24"/>
                <w:szCs w:val="21"/>
                <w:highlight w:val="none"/>
                <w:lang w:val="en-US" w:eastAsia="zh-CN" w:bidi="ar-SA"/>
              </w:rPr>
              <w:t xml:space="preserve">与环境管控单元优先保护单元交集面积为 0.00 平方公里，占项目占地面积的 0.00%；与重点管控单元交集面积为 0.00 平方公里，占项目占地面积的 0.00%；一般管控单元交集面积为小于 0.01 平方公里，占项目占地面积的 100.00%。 </w:t>
            </w:r>
          </w:p>
          <w:p>
            <w:pPr>
              <w:pStyle w:val="9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b w:val="0"/>
                <w:bCs w:val="0"/>
                <w:snapToGrid w:val="0"/>
                <w:color w:val="auto"/>
                <w:kern w:val="0"/>
                <w:sz w:val="24"/>
                <w:szCs w:val="21"/>
                <w:highlight w:val="none"/>
                <w:lang w:val="en-US" w:eastAsia="zh-CN" w:bidi="ar-SA"/>
              </w:rPr>
            </w:pPr>
            <w:r>
              <w:rPr>
                <w:rFonts w:hint="eastAsia" w:ascii="Times New Roman" w:hAnsi="Times New Roman" w:eastAsia="宋体" w:cs="Times New Roman"/>
                <w:b w:val="0"/>
                <w:bCs w:val="0"/>
                <w:snapToGrid w:val="0"/>
                <w:color w:val="auto"/>
                <w:kern w:val="0"/>
                <w:sz w:val="24"/>
                <w:szCs w:val="21"/>
                <w:highlight w:val="none"/>
                <w:lang w:val="en-US" w:eastAsia="zh-CN" w:bidi="ar-SA"/>
              </w:rPr>
              <w:t>与地下水环境优先保护区交集面积为 0.00 平方公里，占项目占地面积的 0.00%；与地下水环境重点管控区交集面积为 0.00 平方公里，占项目占地面积的 0.00%，与地下水环境一般管控区交集面积为小于 0.01 平方公里，占项目占地面积的 100.00%。</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cs="Times New Roman"/>
                <w:b/>
                <w:bCs/>
                <w:snapToGrid w:val="0"/>
                <w:color w:val="auto"/>
                <w:kern w:val="0"/>
                <w:sz w:val="24"/>
                <w:szCs w:val="21"/>
                <w:highlight w:val="none"/>
                <w:lang w:val="en-US" w:eastAsia="zh-CN"/>
              </w:rPr>
              <w:t>3</w:t>
            </w:r>
            <w:r>
              <w:rPr>
                <w:rFonts w:hint="eastAsia" w:ascii="Times New Roman" w:hAnsi="Times New Roman" w:eastAsia="宋体" w:cs="Times New Roman"/>
                <w:b/>
                <w:bCs/>
                <w:snapToGrid w:val="0"/>
                <w:color w:val="auto"/>
                <w:kern w:val="0"/>
                <w:sz w:val="24"/>
                <w:szCs w:val="21"/>
                <w:highlight w:val="none"/>
                <w:lang w:val="en-US" w:eastAsia="zh-CN"/>
              </w:rPr>
              <w:t>、</w:t>
            </w:r>
            <w:r>
              <w:rPr>
                <w:rFonts w:hint="default" w:ascii="Times New Roman" w:hAnsi="Times New Roman" w:eastAsia="宋体" w:cs="Times New Roman"/>
                <w:b/>
                <w:bCs/>
                <w:color w:val="auto"/>
                <w:kern w:val="0"/>
                <w:sz w:val="24"/>
                <w:szCs w:val="24"/>
                <w:highlight w:val="none"/>
                <w:lang w:val="en-US" w:eastAsia="zh-CN" w:bidi="ar"/>
              </w:rPr>
              <w:t>与《黑龙江省人民代表大会常务委员会关于修改〈黑龙江省大气污染防治条例〉的决定》（2018年12月27日）符合性分析</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snapToGrid w:val="0"/>
                <w:color w:val="auto"/>
                <w:kern w:val="0"/>
                <w:sz w:val="24"/>
                <w:szCs w:val="21"/>
                <w:highlight w:val="none"/>
                <w:lang w:val="en-US" w:eastAsia="zh-CN" w:bidi="ar-SA"/>
              </w:rPr>
            </w:pPr>
            <w:r>
              <w:rPr>
                <w:rFonts w:hint="eastAsia" w:ascii="Times New Roman" w:hAnsi="Times New Roman" w:eastAsia="宋体" w:cs="Times New Roman"/>
                <w:b w:val="0"/>
                <w:bCs w:val="0"/>
                <w:snapToGrid w:val="0"/>
                <w:color w:val="auto"/>
                <w:kern w:val="0"/>
                <w:sz w:val="24"/>
                <w:szCs w:val="21"/>
                <w:highlight w:val="none"/>
                <w:lang w:val="en-US" w:eastAsia="zh-CN" w:bidi="ar-SA"/>
              </w:rPr>
              <w:t>本项目与《黑龙江省大气污染防治条例》相符性分析见表</w:t>
            </w:r>
            <w:r>
              <w:rPr>
                <w:rFonts w:hint="default" w:ascii="Times New Roman" w:hAnsi="Times New Roman" w:eastAsia="宋体" w:cs="Times New Roman"/>
                <w:b w:val="0"/>
                <w:bCs w:val="0"/>
                <w:snapToGrid w:val="0"/>
                <w:color w:val="auto"/>
                <w:kern w:val="0"/>
                <w:sz w:val="24"/>
                <w:szCs w:val="21"/>
                <w:highlight w:val="none"/>
                <w:lang w:val="en-US" w:eastAsia="zh-CN" w:bidi="ar-SA"/>
              </w:rPr>
              <w:t>1</w:t>
            </w:r>
            <w:r>
              <w:rPr>
                <w:rFonts w:hint="eastAsia" w:ascii="Times New Roman" w:hAnsi="Times New Roman" w:eastAsia="宋体" w:cs="Times New Roman"/>
                <w:b w:val="0"/>
                <w:bCs w:val="0"/>
                <w:snapToGrid w:val="0"/>
                <w:color w:val="auto"/>
                <w:kern w:val="0"/>
                <w:sz w:val="24"/>
                <w:szCs w:val="21"/>
                <w:highlight w:val="none"/>
                <w:lang w:val="en-US" w:eastAsia="zh-CN" w:bidi="ar-SA"/>
              </w:rPr>
              <w:t>-</w:t>
            </w:r>
            <w:r>
              <w:rPr>
                <w:rFonts w:hint="default" w:ascii="Times New Roman" w:hAnsi="Times New Roman" w:cs="Times New Roman"/>
                <w:b w:val="0"/>
                <w:bCs w:val="0"/>
                <w:snapToGrid w:val="0"/>
                <w:color w:val="auto"/>
                <w:kern w:val="0"/>
                <w:sz w:val="24"/>
                <w:szCs w:val="21"/>
                <w:highlight w:val="none"/>
                <w:lang w:val="en-US" w:eastAsia="zh-CN" w:bidi="ar-SA"/>
              </w:rPr>
              <w:t>3</w:t>
            </w:r>
            <w:r>
              <w:rPr>
                <w:rFonts w:hint="eastAsia" w:ascii="Times New Roman" w:hAnsi="Times New Roman" w:eastAsia="宋体" w:cs="Times New Roman"/>
                <w:b w:val="0"/>
                <w:bCs w:val="0"/>
                <w:snapToGrid w:val="0"/>
                <w:color w:val="auto"/>
                <w:kern w:val="0"/>
                <w:sz w:val="24"/>
                <w:szCs w:val="21"/>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表1</w:t>
            </w:r>
            <w:r>
              <w:rPr>
                <w:rFonts w:hint="eastAsia" w:ascii="Times New Roman" w:hAnsi="Times New Roman" w:cs="Times New Roman"/>
                <w:b/>
                <w:bCs/>
                <w:color w:val="auto"/>
                <w:kern w:val="0"/>
                <w:sz w:val="24"/>
                <w:highlight w:val="none"/>
                <w:lang w:val="en-US" w:eastAsia="zh-CN"/>
              </w:rPr>
              <w:t>-</w:t>
            </w:r>
            <w:r>
              <w:rPr>
                <w:rFonts w:hint="default" w:ascii="Times New Roman" w:hAnsi="Times New Roman" w:cs="Times New Roman"/>
                <w:b/>
                <w:bCs/>
                <w:color w:val="auto"/>
                <w:kern w:val="0"/>
                <w:sz w:val="24"/>
                <w:highlight w:val="none"/>
                <w:lang w:val="en-US" w:eastAsia="zh-CN"/>
              </w:rPr>
              <w:t>3</w:t>
            </w:r>
            <w:r>
              <w:rPr>
                <w:rFonts w:hint="eastAsia" w:ascii="Times New Roman" w:hAnsi="Times New Roman" w:cs="Times New Roman"/>
                <w:b/>
                <w:bCs/>
                <w:color w:val="auto"/>
                <w:kern w:val="0"/>
                <w:sz w:val="24"/>
                <w:highlight w:val="none"/>
                <w:lang w:val="en-US" w:eastAsia="zh-CN"/>
              </w:rPr>
              <w:t xml:space="preserve"> </w:t>
            </w:r>
            <w:r>
              <w:rPr>
                <w:rFonts w:hint="eastAsia" w:ascii="Times New Roman" w:hAnsi="Times New Roman" w:eastAsia="宋体" w:cs="Times New Roman"/>
                <w:b/>
                <w:bCs/>
                <w:color w:val="auto"/>
                <w:kern w:val="0"/>
                <w:sz w:val="24"/>
                <w:highlight w:val="none"/>
                <w:lang w:val="en-US" w:eastAsia="zh-CN"/>
              </w:rPr>
              <w:t>与《黑龙江省大气污染防治条例》相符性分析一览表</w:t>
            </w:r>
          </w:p>
          <w:tbl>
            <w:tblPr>
              <w:tblStyle w:val="33"/>
              <w:tblW w:w="734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0"/>
              <w:gridCol w:w="3841"/>
              <w:gridCol w:w="2668"/>
              <w:gridCol w:w="4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70" w:type="dxa"/>
                  <w:tcBorders>
                    <w:tl2br w:val="nil"/>
                    <w:tr2bl w:val="nil"/>
                  </w:tcBorders>
                  <w:noWrap w:val="0"/>
                  <w:vAlign w:val="center"/>
                </w:tcPr>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序号</w:t>
                  </w:r>
                </w:p>
              </w:tc>
              <w:tc>
                <w:tcPr>
                  <w:tcW w:w="3841" w:type="dxa"/>
                  <w:tcBorders>
                    <w:tl2br w:val="nil"/>
                    <w:tr2bl w:val="nil"/>
                  </w:tcBorders>
                  <w:noWrap w:val="0"/>
                  <w:vAlign w:val="center"/>
                </w:tcPr>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w:t>
                  </w:r>
                  <w:r>
                    <w:rPr>
                      <w:rFonts w:hint="default" w:ascii="Times New Roman" w:hAnsi="Times New Roman" w:eastAsia="宋体" w:cs="Times New Roman"/>
                      <w:b w:val="0"/>
                      <w:bCs/>
                      <w:color w:val="auto"/>
                      <w:sz w:val="21"/>
                      <w:szCs w:val="21"/>
                      <w:vertAlign w:val="baseline"/>
                      <w:lang w:val="en-US" w:eastAsia="zh-CN"/>
                    </w:rPr>
                    <w:t>黑龙江省大气污染防治条例》</w:t>
                  </w:r>
                </w:p>
              </w:tc>
              <w:tc>
                <w:tcPr>
                  <w:tcW w:w="2668" w:type="dxa"/>
                  <w:tcBorders>
                    <w:tl2br w:val="nil"/>
                    <w:tr2bl w:val="nil"/>
                  </w:tcBorders>
                  <w:noWrap w:val="0"/>
                  <w:vAlign w:val="center"/>
                </w:tcPr>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本项目</w:t>
                  </w:r>
                </w:p>
              </w:tc>
              <w:tc>
                <w:tcPr>
                  <w:tcW w:w="461" w:type="dxa"/>
                  <w:tcBorders>
                    <w:tl2br w:val="nil"/>
                    <w:tr2bl w:val="nil"/>
                  </w:tcBorders>
                  <w:noWrap w:val="0"/>
                  <w:vAlign w:val="center"/>
                </w:tcPr>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70" w:type="dxa"/>
                  <w:tcBorders>
                    <w:tl2br w:val="nil"/>
                    <w:tr2bl w:val="nil"/>
                  </w:tcBorders>
                  <w:noWrap w:val="0"/>
                  <w:vAlign w:val="center"/>
                </w:tcPr>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第十一条</w:t>
                  </w:r>
                </w:p>
              </w:tc>
              <w:tc>
                <w:tcPr>
                  <w:tcW w:w="3841" w:type="dxa"/>
                  <w:tcBorders>
                    <w:tl2br w:val="nil"/>
                    <w:tr2bl w:val="nil"/>
                  </w:tcBorders>
                  <w:noWrap w:val="0"/>
                  <w:vAlign w:val="center"/>
                </w:tcPr>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向大气排放污染物的企业事业单位和其他生产经营者，应当配套建设大气污染防治设施。</w:t>
                  </w:r>
                </w:p>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配套建设的大气污染防治设施，应当与主体工程同时设计、同时施工、同时投产使用，不得擅自拆除或者闲置。</w:t>
                  </w:r>
                </w:p>
              </w:tc>
              <w:tc>
                <w:tcPr>
                  <w:tcW w:w="2668" w:type="dxa"/>
                  <w:tcBorders>
                    <w:tl2br w:val="nil"/>
                    <w:tr2bl w:val="nil"/>
                  </w:tcBorders>
                  <w:noWrap w:val="0"/>
                  <w:vAlign w:val="center"/>
                </w:tcPr>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本项目水泥筒仓、粉煤灰筒仓及搅拌机配套了布袋式除尘器，投料</w:t>
                  </w:r>
                  <w:r>
                    <w:rPr>
                      <w:rFonts w:hint="default" w:ascii="Times New Roman" w:hAnsi="Times New Roman" w:eastAsia="宋体" w:cs="Times New Roman"/>
                      <w:b w:val="0"/>
                      <w:bCs/>
                      <w:color w:val="auto"/>
                      <w:sz w:val="21"/>
                      <w:szCs w:val="21"/>
                      <w:highlight w:val="none"/>
                      <w:vertAlign w:val="baseline"/>
                      <w:lang w:val="en-US" w:eastAsia="zh-CN"/>
                    </w:rPr>
                    <w:t>斗设置</w:t>
                  </w:r>
                  <w:r>
                    <w:rPr>
                      <w:rFonts w:hint="eastAsia" w:ascii="Times New Roman" w:hAnsi="Times New Roman" w:eastAsia="宋体" w:cs="Times New Roman"/>
                      <w:b w:val="0"/>
                      <w:bCs/>
                      <w:color w:val="auto"/>
                      <w:sz w:val="21"/>
                      <w:szCs w:val="21"/>
                      <w:highlight w:val="none"/>
                      <w:vertAlign w:val="baseline"/>
                      <w:lang w:val="en-US" w:eastAsia="zh-CN"/>
                    </w:rPr>
                    <w:t>在半封闭式罩棚内</w:t>
                  </w:r>
                  <w:r>
                    <w:rPr>
                      <w:rFonts w:hint="default" w:ascii="Times New Roman" w:hAnsi="Times New Roman" w:eastAsia="宋体" w:cs="Times New Roman"/>
                      <w:b w:val="0"/>
                      <w:bCs/>
                      <w:color w:val="auto"/>
                      <w:sz w:val="21"/>
                      <w:szCs w:val="21"/>
                      <w:highlight w:val="none"/>
                      <w:vertAlign w:val="baseline"/>
                      <w:lang w:val="en-US" w:eastAsia="zh-CN"/>
                    </w:rPr>
                    <w:t>，</w:t>
                  </w:r>
                  <w:r>
                    <w:rPr>
                      <w:rFonts w:hint="eastAsia" w:ascii="Times New Roman" w:hAnsi="Times New Roman" w:eastAsia="宋体" w:cs="Times New Roman"/>
                      <w:b w:val="0"/>
                      <w:bCs/>
                      <w:color w:val="auto"/>
                      <w:sz w:val="21"/>
                      <w:szCs w:val="21"/>
                      <w:highlight w:val="none"/>
                      <w:vertAlign w:val="baseline"/>
                      <w:lang w:val="en-US" w:eastAsia="zh-CN"/>
                    </w:rPr>
                    <w:t>并在投料</w:t>
                  </w:r>
                  <w:r>
                    <w:rPr>
                      <w:rFonts w:hint="default" w:ascii="Times New Roman" w:hAnsi="Times New Roman" w:eastAsia="宋体" w:cs="Times New Roman"/>
                      <w:b w:val="0"/>
                      <w:bCs/>
                      <w:color w:val="auto"/>
                      <w:sz w:val="21"/>
                      <w:szCs w:val="21"/>
                      <w:highlight w:val="none"/>
                      <w:vertAlign w:val="baseline"/>
                      <w:lang w:val="en-US" w:eastAsia="zh-CN"/>
                    </w:rPr>
                    <w:t>斗</w:t>
                  </w:r>
                  <w:r>
                    <w:rPr>
                      <w:rFonts w:hint="eastAsia" w:ascii="Times New Roman" w:hAnsi="Times New Roman" w:eastAsia="宋体" w:cs="Times New Roman"/>
                      <w:b w:val="0"/>
                      <w:bCs/>
                      <w:color w:val="auto"/>
                      <w:sz w:val="21"/>
                      <w:szCs w:val="21"/>
                      <w:highlight w:val="none"/>
                      <w:vertAlign w:val="baseline"/>
                      <w:lang w:val="en-US" w:eastAsia="zh-CN"/>
                    </w:rPr>
                    <w:t>上方</w:t>
                  </w:r>
                  <w:r>
                    <w:rPr>
                      <w:rFonts w:hint="default" w:ascii="Times New Roman" w:hAnsi="Times New Roman" w:eastAsia="宋体" w:cs="Times New Roman"/>
                      <w:b w:val="0"/>
                      <w:bCs/>
                      <w:color w:val="auto"/>
                      <w:sz w:val="21"/>
                      <w:szCs w:val="21"/>
                      <w:highlight w:val="none"/>
                      <w:vertAlign w:val="baseline"/>
                      <w:lang w:val="en-US" w:eastAsia="zh-CN"/>
                    </w:rPr>
                    <w:t>设置</w:t>
                  </w:r>
                  <w:r>
                    <w:rPr>
                      <w:rFonts w:hint="eastAsia" w:ascii="Times New Roman" w:hAnsi="Times New Roman" w:eastAsia="宋体" w:cs="Times New Roman"/>
                      <w:b w:val="0"/>
                      <w:bCs/>
                      <w:color w:val="auto"/>
                      <w:sz w:val="21"/>
                      <w:szCs w:val="21"/>
                      <w:highlight w:val="none"/>
                      <w:vertAlign w:val="baseline"/>
                      <w:lang w:val="en-US" w:eastAsia="zh-CN"/>
                    </w:rPr>
                    <w:t>雾化喷淋装置；与主体工程同时设计、同时施工、同时投产使用，不擅自拆除或者闲置。</w:t>
                  </w:r>
                </w:p>
              </w:tc>
              <w:tc>
                <w:tcPr>
                  <w:tcW w:w="461" w:type="dxa"/>
                  <w:tcBorders>
                    <w:tl2br w:val="nil"/>
                    <w:tr2bl w:val="nil"/>
                  </w:tcBorders>
                  <w:noWrap w:val="0"/>
                  <w:vAlign w:val="center"/>
                </w:tcPr>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70" w:type="dxa"/>
                  <w:tcBorders>
                    <w:tl2br w:val="nil"/>
                    <w:tr2bl w:val="nil"/>
                  </w:tcBorders>
                  <w:noWrap w:val="0"/>
                  <w:vAlign w:val="center"/>
                </w:tcPr>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第三十八条</w:t>
                  </w:r>
                </w:p>
              </w:tc>
              <w:tc>
                <w:tcPr>
                  <w:tcW w:w="3841" w:type="dxa"/>
                  <w:tcBorders>
                    <w:tl2br w:val="nil"/>
                    <w:tr2bl w:val="nil"/>
                  </w:tcBorders>
                  <w:noWrap w:val="0"/>
                  <w:vAlign w:val="center"/>
                </w:tcPr>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企业事业单位和其他生产经营者应当在规定期限内，淘汰列入国家综合性产业政策目录的严重污染大气环境的工艺、设备和产品。</w:t>
                  </w:r>
                </w:p>
              </w:tc>
              <w:tc>
                <w:tcPr>
                  <w:tcW w:w="2668" w:type="dxa"/>
                  <w:tcBorders>
                    <w:tl2br w:val="nil"/>
                    <w:tr2bl w:val="nil"/>
                  </w:tcBorders>
                  <w:noWrap w:val="0"/>
                  <w:vAlign w:val="center"/>
                </w:tcPr>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本项目为新建项目，为</w:t>
                  </w:r>
                  <w:r>
                    <w:rPr>
                      <w:rFonts w:hint="eastAsia" w:cs="Times New Roman"/>
                      <w:b w:val="0"/>
                      <w:bCs/>
                      <w:color w:val="auto"/>
                      <w:sz w:val="21"/>
                      <w:szCs w:val="21"/>
                      <w:vertAlign w:val="baseline"/>
                      <w:lang w:val="en-US" w:eastAsia="zh-CN"/>
                    </w:rPr>
                    <w:t>商品</w:t>
                  </w:r>
                  <w:r>
                    <w:rPr>
                      <w:rFonts w:hint="eastAsia" w:ascii="Times New Roman" w:hAnsi="Times New Roman" w:eastAsia="宋体" w:cs="Times New Roman"/>
                      <w:b w:val="0"/>
                      <w:bCs/>
                      <w:color w:val="auto"/>
                      <w:sz w:val="21"/>
                      <w:szCs w:val="21"/>
                      <w:vertAlign w:val="baseline"/>
                      <w:lang w:val="en-US" w:eastAsia="zh-CN"/>
                    </w:rPr>
                    <w:t>混生产，采用设备、工艺、生产的产品不属于国家综合性产业政策目录的淘汰类。</w:t>
                  </w:r>
                </w:p>
              </w:tc>
              <w:tc>
                <w:tcPr>
                  <w:tcW w:w="461" w:type="dxa"/>
                  <w:tcBorders>
                    <w:tl2br w:val="nil"/>
                    <w:tr2bl w:val="nil"/>
                  </w:tcBorders>
                  <w:noWrap w:val="0"/>
                  <w:vAlign w:val="center"/>
                </w:tcPr>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70" w:type="dxa"/>
                  <w:tcBorders>
                    <w:tl2br w:val="nil"/>
                    <w:tr2bl w:val="nil"/>
                  </w:tcBorders>
                  <w:noWrap w:val="0"/>
                  <w:vAlign w:val="center"/>
                </w:tcPr>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第五十六条</w:t>
                  </w:r>
                </w:p>
              </w:tc>
              <w:tc>
                <w:tcPr>
                  <w:tcW w:w="3841" w:type="dxa"/>
                  <w:tcBorders>
                    <w:tl2br w:val="nil"/>
                    <w:tr2bl w:val="nil"/>
                  </w:tcBorders>
                  <w:noWrap w:val="0"/>
                  <w:vAlign w:val="center"/>
                </w:tcPr>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在道路、广场、停车场和其他公共场所进行清扫保洁作业的单位和个人，应当执行清扫保洁作业有关标准，防治扬尘污染。市容环境卫生行政主管部门应当及时巡查，对清扫不达标的，按照有关规定予以处理。</w:t>
                  </w:r>
                </w:p>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运输煤炭、垃圾、渣土、砂石、土方、灰浆等散装、流体物料的车辆，应当采取密闭或者其他措施防止物料遗撒、泄漏，并按照规定的路线和时间行驶。</w:t>
                  </w:r>
                </w:p>
              </w:tc>
              <w:tc>
                <w:tcPr>
                  <w:tcW w:w="2668" w:type="dxa"/>
                  <w:tcBorders>
                    <w:tl2br w:val="nil"/>
                    <w:tr2bl w:val="nil"/>
                  </w:tcBorders>
                  <w:noWrap w:val="0"/>
                  <w:vAlign w:val="center"/>
                </w:tcPr>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本项目运行期原料水泥采用</w:t>
                  </w:r>
                  <w:r>
                    <w:rPr>
                      <w:rFonts w:hint="eastAsia" w:cs="Times New Roman"/>
                      <w:b w:val="0"/>
                      <w:bCs/>
                      <w:color w:val="auto"/>
                      <w:sz w:val="21"/>
                      <w:szCs w:val="21"/>
                      <w:vertAlign w:val="baseline"/>
                      <w:lang w:val="en-US" w:eastAsia="zh-CN"/>
                    </w:rPr>
                    <w:t>专用水泥运输罐车运输</w:t>
                  </w:r>
                  <w:r>
                    <w:rPr>
                      <w:rFonts w:hint="eastAsia" w:ascii="Times New Roman" w:hAnsi="Times New Roman" w:eastAsia="宋体" w:cs="Times New Roman"/>
                      <w:b w:val="0"/>
                      <w:bCs/>
                      <w:color w:val="auto"/>
                      <w:sz w:val="21"/>
                      <w:szCs w:val="21"/>
                      <w:vertAlign w:val="baseline"/>
                      <w:lang w:val="en-US" w:eastAsia="zh-CN"/>
                    </w:rPr>
                    <w:t>进入厂区，原料砂石采用汽车运输且运输车辆全部采用苫布覆盖，并按照规定的路线和时间行驶。</w:t>
                  </w:r>
                </w:p>
              </w:tc>
              <w:tc>
                <w:tcPr>
                  <w:tcW w:w="461" w:type="dxa"/>
                  <w:tcBorders>
                    <w:tl2br w:val="nil"/>
                    <w:tr2bl w:val="nil"/>
                  </w:tcBorders>
                  <w:noWrap w:val="0"/>
                  <w:vAlign w:val="center"/>
                </w:tcPr>
                <w:p>
                  <w:pPr>
                    <w:pStyle w:val="168"/>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符合</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b w:val="0"/>
                <w:bCs w:val="0"/>
                <w:snapToGrid w:val="0"/>
                <w:color w:val="auto"/>
                <w:kern w:val="0"/>
                <w:sz w:val="24"/>
                <w:szCs w:val="21"/>
                <w:highlight w:val="yellow"/>
                <w:lang w:val="en-US" w:eastAsia="zh-CN" w:bidi="ar-SA"/>
              </w:rPr>
            </w:pPr>
            <w:r>
              <w:rPr>
                <w:rFonts w:hint="default" w:ascii="Times New Roman" w:hAnsi="Times New Roman" w:eastAsia="宋体" w:cs="Times New Roman"/>
                <w:color w:val="auto"/>
                <w:kern w:val="0"/>
                <w:sz w:val="24"/>
                <w:szCs w:val="24"/>
                <w:highlight w:val="none"/>
                <w:lang w:val="en-US" w:eastAsia="zh-CN" w:bidi="ar"/>
              </w:rPr>
              <w:t>综上，本项目的建设符合</w:t>
            </w:r>
            <w:r>
              <w:rPr>
                <w:rFonts w:hint="eastAsia" w:ascii="Times New Roman" w:hAnsi="Times New Roman" w:eastAsia="宋体" w:cs="Times New Roman"/>
                <w:color w:val="auto"/>
                <w:kern w:val="0"/>
                <w:sz w:val="24"/>
                <w:szCs w:val="24"/>
                <w:highlight w:val="none"/>
                <w:lang w:val="en-US" w:eastAsia="zh-CN" w:bidi="ar"/>
              </w:rPr>
              <w:t>《黑龙江省大气污染防治条例》要求。</w:t>
            </w:r>
          </w:p>
          <w:p>
            <w:pPr>
              <w:keepNext w:val="0"/>
              <w:keepLines w:val="0"/>
              <w:pageBreakBefore w:val="0"/>
              <w:kinsoku/>
              <w:wordWrap/>
              <w:overflowPunct/>
              <w:topLinePunct w:val="0"/>
              <w:autoSpaceDE w:val="0"/>
              <w:autoSpaceDN w:val="0"/>
              <w:bidi w:val="0"/>
              <w:adjustRightInd/>
              <w:snapToGrid/>
              <w:spacing w:line="360" w:lineRule="auto"/>
              <w:ind w:firstLine="482" w:firstLineChars="200"/>
              <w:textAlignment w:val="auto"/>
              <w:outlineLvl w:val="9"/>
              <w:rPr>
                <w:rFonts w:hint="default" w:ascii="Times New Roman" w:hAnsi="Times New Roman" w:cs="Times New Roman"/>
                <w:b/>
                <w:bCs/>
                <w:color w:val="auto"/>
                <w:kern w:val="0"/>
                <w:sz w:val="24"/>
                <w:highlight w:val="none"/>
              </w:rPr>
            </w:pPr>
            <w:bookmarkStart w:id="14" w:name="_Toc107238077"/>
            <w:r>
              <w:rPr>
                <w:rFonts w:hint="default" w:ascii="Times New Roman" w:hAnsi="Times New Roman" w:cs="Times New Roman"/>
                <w:b/>
                <w:bCs/>
                <w:color w:val="auto"/>
                <w:kern w:val="0"/>
                <w:sz w:val="24"/>
                <w:highlight w:val="none"/>
                <w:lang w:val="en-US" w:eastAsia="zh-CN"/>
              </w:rPr>
              <w:t>4</w:t>
            </w:r>
            <w:r>
              <w:rPr>
                <w:rFonts w:hint="default" w:ascii="Times New Roman" w:hAnsi="Times New Roman" w:cs="Times New Roman"/>
                <w:b/>
                <w:bCs/>
                <w:color w:val="auto"/>
                <w:kern w:val="0"/>
                <w:sz w:val="24"/>
                <w:highlight w:val="none"/>
              </w:rPr>
              <w:t>、与《黑龙江省“十四五”生态环境保护规划》合理性分析</w:t>
            </w:r>
            <w:bookmarkEnd w:id="14"/>
          </w:p>
          <w:p>
            <w:pPr>
              <w:keepNext w:val="0"/>
              <w:keepLines w:val="0"/>
              <w:pageBreakBefore w:val="0"/>
              <w:kinsoku/>
              <w:wordWrap/>
              <w:overflowPunct/>
              <w:topLinePunct w:val="0"/>
              <w:autoSpaceDE w:val="0"/>
              <w:autoSpaceDN w:val="0"/>
              <w:bidi w:val="0"/>
              <w:adjustRightInd/>
              <w:snapToGrid/>
              <w:spacing w:line="360" w:lineRule="auto"/>
              <w:ind w:firstLine="480" w:firstLineChars="200"/>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根据《黑龙江省“十四五”生态环境保护规划》：</w:t>
            </w:r>
          </w:p>
          <w:p>
            <w:pPr>
              <w:keepNext w:val="0"/>
              <w:keepLines w:val="0"/>
              <w:pageBreakBefore w:val="0"/>
              <w:kinsoku/>
              <w:wordWrap/>
              <w:overflowPunct/>
              <w:topLinePunct w:val="0"/>
              <w:autoSpaceDE w:val="0"/>
              <w:autoSpaceDN w:val="0"/>
              <w:bidi w:val="0"/>
              <w:adjustRightInd/>
              <w:snapToGrid/>
              <w:spacing w:line="360" w:lineRule="auto"/>
              <w:ind w:firstLine="480" w:firstLineChars="200"/>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实施终端用能清洁化替代。重点削减小型燃煤锅炉、民用散煤与农业用煤消费量，降低煤炭在终端分散利用比例，对以煤、石焦油、渣油、重油等为燃料的锅炉和工业炉窑，加快使用清洁低碳能源以及工厂余热、电力热力等进行替代。深入实施“气化龙江”战略，率先在哈尔滨市、齐齐哈尔市、</w:t>
            </w:r>
            <w:r>
              <w:rPr>
                <w:rFonts w:hint="eastAsia" w:cs="Times New Roman"/>
                <w:color w:val="auto"/>
                <w:sz w:val="24"/>
                <w:szCs w:val="24"/>
                <w:lang w:eastAsia="zh-CN"/>
              </w:rPr>
              <w:t>伊春</w:t>
            </w:r>
            <w:r>
              <w:rPr>
                <w:rFonts w:hint="default" w:ascii="Times New Roman" w:hAnsi="Times New Roman" w:cs="Times New Roman"/>
                <w:color w:val="auto"/>
                <w:sz w:val="24"/>
                <w:szCs w:val="24"/>
              </w:rPr>
              <w:t>市、黑河市等城市以及工业园区推广应用分布式天然气供暖，重点将哈尔滨新区打造成天然气应用示范区。加快推进齐齐哈尔市、</w:t>
            </w:r>
            <w:r>
              <w:rPr>
                <w:rFonts w:hint="eastAsia" w:cs="Times New Roman"/>
                <w:color w:val="auto"/>
                <w:sz w:val="24"/>
                <w:szCs w:val="24"/>
                <w:lang w:eastAsia="zh-CN"/>
              </w:rPr>
              <w:t>伊春</w:t>
            </w:r>
            <w:r>
              <w:rPr>
                <w:rFonts w:hint="default" w:ascii="Times New Roman" w:hAnsi="Times New Roman" w:cs="Times New Roman"/>
                <w:color w:val="auto"/>
                <w:sz w:val="24"/>
                <w:szCs w:val="24"/>
              </w:rPr>
              <w:t>市可再生能源综合应用示范区建设和四煤城新能源项目建设。到2025年，全省清洁取暖率提高到75%以上。”</w:t>
            </w:r>
          </w:p>
          <w:p>
            <w:pPr>
              <w:keepNext w:val="0"/>
              <w:keepLines w:val="0"/>
              <w:pageBreakBefore w:val="0"/>
              <w:kinsoku/>
              <w:wordWrap/>
              <w:overflowPunct/>
              <w:topLinePunct w:val="0"/>
              <w:autoSpaceDE w:val="0"/>
              <w:autoSpaceDN w:val="0"/>
              <w:bidi w:val="0"/>
              <w:adjustRightInd/>
              <w:snapToGrid/>
              <w:spacing w:line="360" w:lineRule="auto"/>
              <w:ind w:firstLine="480" w:firstLineChars="200"/>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“三、主要任务，（一）贯彻新发展理念，推进高质量发展……推进建材、化工、铸造、印染、电镀、加工制造等产业集群升级改造，推动哈尔滨市、</w:t>
            </w:r>
            <w:r>
              <w:rPr>
                <w:rFonts w:hint="eastAsia" w:cs="Times New Roman"/>
                <w:color w:val="auto"/>
                <w:sz w:val="24"/>
                <w:szCs w:val="24"/>
                <w:lang w:eastAsia="zh-CN"/>
              </w:rPr>
              <w:t>伊春</w:t>
            </w:r>
            <w:r>
              <w:rPr>
                <w:rFonts w:hint="default" w:ascii="Times New Roman" w:hAnsi="Times New Roman" w:cs="Times New Roman"/>
                <w:color w:val="auto"/>
                <w:sz w:val="24"/>
                <w:szCs w:val="24"/>
              </w:rPr>
              <w:t>市、牡丹江市、绥化市等城市化工产业集群向精细化、规模化、绿色化方向转型。”</w:t>
            </w:r>
          </w:p>
          <w:p>
            <w:pPr>
              <w:keepNext w:val="0"/>
              <w:keepLines w:val="0"/>
              <w:pageBreakBefore w:val="0"/>
              <w:kinsoku/>
              <w:wordWrap/>
              <w:overflowPunct/>
              <w:topLinePunct w:val="0"/>
              <w:autoSpaceDE w:val="0"/>
              <w:autoSpaceDN w:val="0"/>
              <w:bidi w:val="0"/>
              <w:adjustRightInd/>
              <w:snapToGrid/>
              <w:spacing w:line="360" w:lineRule="auto"/>
              <w:ind w:firstLine="480" w:firstLineChars="200"/>
              <w:contextualSpacing/>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rPr>
              <w:t>“推进扬尘精细化管控。全面推行绿色施工，严格落实施工工地扬尘管控责任，加强施工扬尘监管执法。推进低尘机械化湿式清扫作业，加大城市出入口、城乡结合部等重要路段冲洗保洁力度，渣土车实施全密闭运输，强化绿化用地扬尘治理。城市裸露地面、粉粒类物料堆放以及大型煤炭和矿石码头、干散货码头物料堆场，全面完成抑尘设施建设和物料输送系统封闭改造，鼓</w:t>
            </w:r>
            <w:r>
              <w:rPr>
                <w:rFonts w:hint="default" w:ascii="Times New Roman" w:hAnsi="Times New Roman" w:cs="Times New Roman"/>
                <w:color w:val="auto"/>
                <w:sz w:val="24"/>
                <w:szCs w:val="24"/>
                <w:highlight w:val="none"/>
              </w:rPr>
              <w:t>励有条件的码头堆场实施全封闭改造。”</w:t>
            </w:r>
          </w:p>
          <w:p>
            <w:pPr>
              <w:pStyle w:val="130"/>
              <w:keepNext/>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baseline"/>
              <w:outlineLvl w:val="9"/>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highlight w:val="none"/>
                <w:lang w:val="en-US" w:eastAsia="zh-CN"/>
              </w:rPr>
              <w:t>本项目</w:t>
            </w:r>
            <w:r>
              <w:rPr>
                <w:rFonts w:hint="eastAsia" w:cs="Times New Roman"/>
                <w:b w:val="0"/>
                <w:bCs/>
                <w:color w:val="auto"/>
                <w:sz w:val="24"/>
                <w:szCs w:val="24"/>
                <w:highlight w:val="none"/>
                <w:lang w:val="en-US" w:eastAsia="zh-CN"/>
              </w:rPr>
              <w:t>砂石</w:t>
            </w:r>
            <w:r>
              <w:rPr>
                <w:rFonts w:hint="eastAsia" w:ascii="Times New Roman" w:hAnsi="Times New Roman" w:eastAsia="宋体" w:cs="Times New Roman"/>
                <w:b w:val="0"/>
                <w:bCs/>
                <w:color w:val="auto"/>
                <w:spacing w:val="0"/>
                <w:sz w:val="24"/>
                <w:szCs w:val="24"/>
                <w:highlight w:val="none"/>
              </w:rPr>
              <w:t>原料</w:t>
            </w:r>
            <w:r>
              <w:rPr>
                <w:rFonts w:hint="default" w:ascii="Times New Roman" w:hAnsi="Times New Roman" w:eastAsia="宋体" w:cs="Times New Roman"/>
                <w:b w:val="0"/>
                <w:bCs/>
                <w:color w:val="auto"/>
                <w:spacing w:val="0"/>
                <w:sz w:val="24"/>
                <w:szCs w:val="24"/>
                <w:highlight w:val="none"/>
              </w:rPr>
              <w:t>采用卡车运输，卡车用苫布苫盖</w:t>
            </w:r>
            <w:r>
              <w:rPr>
                <w:rFonts w:hint="eastAsia" w:ascii="Times New Roman" w:hAnsi="Times New Roman" w:eastAsia="宋体" w:cs="Times New Roman"/>
                <w:b w:val="0"/>
                <w:bCs/>
                <w:color w:val="auto"/>
                <w:spacing w:val="0"/>
                <w:sz w:val="24"/>
                <w:szCs w:val="24"/>
                <w:highlight w:val="none"/>
              </w:rPr>
              <w:t>，</w:t>
            </w:r>
            <w:r>
              <w:rPr>
                <w:rFonts w:hint="eastAsia" w:cs="Times New Roman"/>
                <w:b w:val="0"/>
                <w:bCs/>
                <w:color w:val="auto"/>
                <w:spacing w:val="0"/>
                <w:sz w:val="24"/>
                <w:szCs w:val="24"/>
                <w:highlight w:val="none"/>
                <w:lang w:eastAsia="zh-CN"/>
              </w:rPr>
              <w:t>水泥采用专用水泥运输罐车运输</w:t>
            </w:r>
            <w:r>
              <w:rPr>
                <w:rFonts w:hint="eastAsia" w:ascii="Times New Roman" w:hAnsi="Times New Roman" w:eastAsia="宋体" w:cs="Times New Roman"/>
                <w:b w:val="0"/>
                <w:bCs/>
                <w:color w:val="auto"/>
                <w:spacing w:val="0"/>
                <w:sz w:val="24"/>
                <w:szCs w:val="24"/>
                <w:highlight w:val="none"/>
                <w:lang w:val="en-US" w:eastAsia="zh-CN"/>
              </w:rPr>
              <w:t>，且对厂区进行洒水抑尘</w:t>
            </w:r>
            <w:r>
              <w:rPr>
                <w:rFonts w:hint="eastAsia" w:ascii="Times New Roman" w:hAnsi="Times New Roman" w:eastAsia="宋体" w:cs="Times New Roman"/>
                <w:b w:val="0"/>
                <w:bCs/>
                <w:color w:val="auto"/>
                <w:spacing w:val="0"/>
                <w:sz w:val="24"/>
                <w:szCs w:val="24"/>
                <w:highlight w:val="none"/>
              </w:rPr>
              <w:t>；本项目</w:t>
            </w:r>
            <w:r>
              <w:rPr>
                <w:rFonts w:hint="eastAsia" w:ascii="Times New Roman" w:hAnsi="Times New Roman" w:eastAsia="宋体" w:cs="Times New Roman"/>
                <w:b w:val="0"/>
                <w:bCs/>
                <w:color w:val="auto"/>
                <w:spacing w:val="0"/>
                <w:sz w:val="24"/>
                <w:szCs w:val="24"/>
                <w:highlight w:val="none"/>
                <w:lang w:val="en-US" w:eastAsia="zh-CN"/>
              </w:rPr>
              <w:t>砂石料</w:t>
            </w:r>
            <w:r>
              <w:rPr>
                <w:rFonts w:hint="default" w:ascii="Times New Roman" w:hAnsi="Times New Roman" w:eastAsia="宋体" w:cs="Times New Roman"/>
                <w:b w:val="0"/>
                <w:bCs/>
                <w:color w:val="auto"/>
                <w:spacing w:val="0"/>
                <w:sz w:val="24"/>
                <w:szCs w:val="24"/>
                <w:highlight w:val="none"/>
                <w:lang w:val="en-US" w:eastAsia="zh-CN"/>
              </w:rPr>
              <w:t>堆</w:t>
            </w:r>
            <w:r>
              <w:rPr>
                <w:rFonts w:hint="eastAsia" w:ascii="Times New Roman" w:hAnsi="Times New Roman" w:eastAsia="宋体" w:cs="Times New Roman"/>
                <w:b w:val="0"/>
                <w:bCs/>
                <w:color w:val="auto"/>
                <w:spacing w:val="0"/>
                <w:sz w:val="24"/>
                <w:szCs w:val="24"/>
                <w:highlight w:val="none"/>
                <w:lang w:val="en-US" w:eastAsia="zh-CN"/>
              </w:rPr>
              <w:t>场</w:t>
            </w:r>
            <w:r>
              <w:rPr>
                <w:rFonts w:hint="eastAsia" w:ascii="Times New Roman" w:hAnsi="Times New Roman" w:eastAsia="宋体" w:cs="Times New Roman"/>
                <w:b w:val="0"/>
                <w:bCs/>
                <w:color w:val="auto"/>
                <w:spacing w:val="0"/>
                <w:sz w:val="24"/>
                <w:szCs w:val="24"/>
                <w:highlight w:val="none"/>
                <w:lang w:eastAsia="zh-CN"/>
              </w:rPr>
              <w:t>四周设置</w:t>
            </w:r>
            <w:r>
              <w:rPr>
                <w:rFonts w:hint="default" w:ascii="Times New Roman" w:hAnsi="Times New Roman" w:eastAsia="宋体" w:cs="Times New Roman"/>
                <w:b w:val="0"/>
                <w:bCs/>
                <w:color w:val="auto"/>
                <w:spacing w:val="0"/>
                <w:sz w:val="24"/>
                <w:szCs w:val="24"/>
                <w:highlight w:val="none"/>
                <w:lang w:val="en-US" w:eastAsia="zh-CN"/>
              </w:rPr>
              <w:t>防风抑尘网</w:t>
            </w:r>
            <w:r>
              <w:rPr>
                <w:rFonts w:hint="eastAsia" w:ascii="Times New Roman" w:hAnsi="Times New Roman" w:eastAsia="宋体" w:cs="Times New Roman"/>
                <w:b w:val="0"/>
                <w:bCs/>
                <w:color w:val="auto"/>
                <w:spacing w:val="0"/>
                <w:sz w:val="24"/>
                <w:szCs w:val="24"/>
                <w:highlight w:val="none"/>
                <w:lang w:val="en-US" w:eastAsia="zh-CN"/>
              </w:rPr>
              <w:t>，并洒水抑尘；水泥和粉煤灰采用筒仓存储，水泥、粉煤灰筒仓</w:t>
            </w:r>
            <w:r>
              <w:rPr>
                <w:rFonts w:hint="eastAsia" w:ascii="Times New Roman" w:hAnsi="Times New Roman" w:eastAsia="宋体" w:cs="Times New Roman"/>
                <w:b w:val="0"/>
                <w:bCs/>
                <w:color w:val="auto"/>
                <w:spacing w:val="0"/>
                <w:sz w:val="24"/>
                <w:szCs w:val="24"/>
                <w:highlight w:val="none"/>
              </w:rPr>
              <w:t>均配备仓顶式布袋除尘器，废气经处理后由无组织形式排放；</w:t>
            </w:r>
            <w:r>
              <w:rPr>
                <w:rFonts w:hint="eastAsia" w:ascii="Times New Roman" w:hAnsi="Times New Roman" w:eastAsia="宋体" w:cs="Times New Roman"/>
                <w:b w:val="0"/>
                <w:bCs/>
                <w:color w:val="auto"/>
                <w:spacing w:val="0"/>
                <w:sz w:val="24"/>
                <w:szCs w:val="24"/>
                <w:highlight w:val="none"/>
                <w:lang w:val="en-US" w:eastAsia="zh-CN"/>
              </w:rPr>
              <w:t>投料</w:t>
            </w:r>
            <w:r>
              <w:rPr>
                <w:rFonts w:hint="default" w:ascii="Times New Roman" w:hAnsi="Times New Roman" w:eastAsia="宋体" w:cs="Times New Roman"/>
                <w:b w:val="0"/>
                <w:bCs/>
                <w:color w:val="auto"/>
                <w:spacing w:val="0"/>
                <w:sz w:val="24"/>
                <w:szCs w:val="24"/>
                <w:highlight w:val="none"/>
                <w:lang w:val="en-US" w:eastAsia="zh-CN"/>
              </w:rPr>
              <w:t>斗设置</w:t>
            </w:r>
            <w:r>
              <w:rPr>
                <w:rFonts w:hint="eastAsia" w:ascii="Times New Roman" w:hAnsi="Times New Roman" w:eastAsia="宋体" w:cs="Times New Roman"/>
                <w:b w:val="0"/>
                <w:bCs/>
                <w:color w:val="auto"/>
                <w:spacing w:val="0"/>
                <w:sz w:val="24"/>
                <w:szCs w:val="24"/>
                <w:highlight w:val="none"/>
                <w:lang w:val="en-US" w:eastAsia="zh-CN"/>
              </w:rPr>
              <w:t>在</w:t>
            </w:r>
            <w:r>
              <w:rPr>
                <w:rFonts w:hint="eastAsia" w:ascii="Times New Roman" w:hAnsi="Times New Roman" w:eastAsia="宋体" w:cs="Times New Roman"/>
                <w:b w:val="0"/>
                <w:bCs/>
                <w:color w:val="auto"/>
                <w:kern w:val="2"/>
                <w:sz w:val="24"/>
                <w:szCs w:val="24"/>
                <w:highlight w:val="none"/>
                <w:lang w:val="en-US" w:eastAsia="zh-CN" w:bidi="ar-SA"/>
              </w:rPr>
              <w:t>半封闭式罩棚内</w:t>
            </w:r>
            <w:r>
              <w:rPr>
                <w:rFonts w:hint="default"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lang w:val="en-US" w:eastAsia="zh-CN"/>
              </w:rPr>
              <w:t>并在投料</w:t>
            </w:r>
            <w:r>
              <w:rPr>
                <w:rFonts w:hint="default" w:ascii="Times New Roman" w:hAnsi="Times New Roman" w:eastAsia="宋体" w:cs="Times New Roman"/>
                <w:b w:val="0"/>
                <w:bCs/>
                <w:color w:val="auto"/>
                <w:spacing w:val="0"/>
                <w:sz w:val="24"/>
                <w:szCs w:val="24"/>
                <w:highlight w:val="none"/>
                <w:lang w:val="en-US" w:eastAsia="zh-CN"/>
              </w:rPr>
              <w:t>斗</w:t>
            </w:r>
            <w:r>
              <w:rPr>
                <w:rFonts w:hint="eastAsia" w:ascii="Times New Roman" w:hAnsi="Times New Roman" w:eastAsia="宋体" w:cs="Times New Roman"/>
                <w:b w:val="0"/>
                <w:bCs/>
                <w:color w:val="auto"/>
                <w:spacing w:val="0"/>
                <w:sz w:val="24"/>
                <w:szCs w:val="24"/>
                <w:highlight w:val="none"/>
                <w:lang w:val="en-US" w:eastAsia="zh-CN"/>
              </w:rPr>
              <w:t>上方</w:t>
            </w:r>
            <w:r>
              <w:rPr>
                <w:rFonts w:hint="default" w:ascii="Times New Roman" w:hAnsi="Times New Roman" w:eastAsia="宋体" w:cs="Times New Roman"/>
                <w:b w:val="0"/>
                <w:bCs/>
                <w:color w:val="auto"/>
                <w:spacing w:val="0"/>
                <w:sz w:val="24"/>
                <w:szCs w:val="24"/>
                <w:highlight w:val="none"/>
                <w:lang w:val="en-US" w:eastAsia="zh-CN"/>
              </w:rPr>
              <w:t>设置</w:t>
            </w:r>
            <w:r>
              <w:rPr>
                <w:rFonts w:hint="eastAsia" w:ascii="Times New Roman" w:hAnsi="Times New Roman" w:eastAsia="宋体" w:cs="Times New Roman"/>
                <w:b w:val="0"/>
                <w:bCs/>
                <w:color w:val="auto"/>
                <w:spacing w:val="0"/>
                <w:sz w:val="24"/>
                <w:szCs w:val="24"/>
                <w:highlight w:val="none"/>
                <w:lang w:val="en-US" w:eastAsia="zh-CN"/>
              </w:rPr>
              <w:t>雾化喷淋装置；水泥、砂石、粉煤灰进入搅拌机均采用密闭式输送；</w:t>
            </w:r>
            <w:r>
              <w:rPr>
                <w:rFonts w:hint="eastAsia" w:ascii="Times New Roman" w:hAnsi="Times New Roman" w:eastAsia="宋体" w:cs="Times New Roman"/>
                <w:b w:val="0"/>
                <w:bCs/>
                <w:color w:val="auto"/>
                <w:spacing w:val="0"/>
                <w:sz w:val="24"/>
                <w:szCs w:val="24"/>
                <w:highlight w:val="none"/>
              </w:rPr>
              <w:t>厂区地面进行硬化，定时洒水抑尘</w:t>
            </w:r>
            <w:r>
              <w:rPr>
                <w:rFonts w:hint="default" w:ascii="Times New Roman" w:hAnsi="Times New Roman" w:eastAsia="宋体" w:cs="Times New Roman"/>
                <w:b w:val="0"/>
                <w:bCs/>
                <w:color w:val="auto"/>
                <w:spacing w:val="0"/>
                <w:sz w:val="24"/>
                <w:szCs w:val="24"/>
                <w:highlight w:val="none"/>
              </w:rPr>
              <w:t>。通过采取</w:t>
            </w:r>
            <w:r>
              <w:rPr>
                <w:rFonts w:hint="default" w:ascii="Times New Roman" w:hAnsi="Times New Roman" w:eastAsia="宋体" w:cs="Times New Roman"/>
                <w:b w:val="0"/>
                <w:bCs/>
                <w:color w:val="auto"/>
                <w:spacing w:val="0"/>
                <w:sz w:val="24"/>
                <w:szCs w:val="24"/>
                <w:highlight w:val="none"/>
                <w:lang w:val="en-US" w:eastAsia="zh-CN"/>
              </w:rPr>
              <w:t>以上降尘措施后，颗粒物厂界外无组织排放监控点浓度满足《水泥工业大气污染物排放标准》（GB4915-2013）表3中标准要求。</w:t>
            </w:r>
            <w:r>
              <w:rPr>
                <w:rFonts w:hint="eastAsia" w:ascii="Times New Roman" w:hAnsi="Times New Roman" w:eastAsia="宋体" w:cs="Times New Roman"/>
                <w:b w:val="0"/>
                <w:bCs/>
                <w:color w:val="auto"/>
                <w:spacing w:val="0"/>
                <w:sz w:val="24"/>
                <w:szCs w:val="24"/>
                <w:highlight w:val="none"/>
                <w:lang w:val="en-US" w:eastAsia="zh-CN"/>
              </w:rPr>
              <w:t>混凝土</w:t>
            </w:r>
            <w:r>
              <w:rPr>
                <w:rFonts w:hint="default" w:ascii="Times New Roman" w:hAnsi="Times New Roman" w:eastAsia="宋体" w:cs="Times New Roman"/>
                <w:b w:val="0"/>
                <w:bCs/>
                <w:color w:val="auto"/>
                <w:spacing w:val="0"/>
                <w:sz w:val="24"/>
                <w:szCs w:val="24"/>
                <w:highlight w:val="none"/>
                <w:lang w:val="en-US" w:eastAsia="zh-CN"/>
              </w:rPr>
              <w:t>搅拌机通气口设置1套布袋除尘器，搅拌主机卸料口应设置</w:t>
            </w:r>
            <w:r>
              <w:rPr>
                <w:rFonts w:hint="eastAsia" w:ascii="Times New Roman" w:hAnsi="Times New Roman" w:eastAsia="宋体" w:cs="Times New Roman"/>
                <w:b w:val="0"/>
                <w:bCs/>
                <w:color w:val="auto"/>
                <w:spacing w:val="0"/>
                <w:sz w:val="24"/>
                <w:szCs w:val="24"/>
                <w:highlight w:val="none"/>
                <w:lang w:val="en-US" w:eastAsia="zh-CN"/>
              </w:rPr>
              <w:t>防喷溅设施，</w:t>
            </w:r>
            <w:r>
              <w:rPr>
                <w:rFonts w:hint="eastAsia" w:cs="Times New Roman"/>
                <w:b w:val="0"/>
                <w:bCs/>
                <w:color w:val="auto"/>
                <w:spacing w:val="0"/>
                <w:sz w:val="24"/>
                <w:szCs w:val="24"/>
                <w:highlight w:val="none"/>
                <w:lang w:val="en-US" w:eastAsia="zh-CN"/>
              </w:rPr>
              <w:t>粉尘经除尘器处理后以无组织形式排放至车间内部</w:t>
            </w:r>
            <w:r>
              <w:rPr>
                <w:rFonts w:hint="default" w:ascii="Times New Roman" w:hAnsi="Times New Roman" w:eastAsia="宋体" w:cs="Times New Roman"/>
                <w:b w:val="0"/>
                <w:bCs/>
                <w:color w:val="auto"/>
                <w:spacing w:val="0"/>
                <w:sz w:val="24"/>
                <w:szCs w:val="24"/>
                <w:highlight w:val="none"/>
                <w:lang w:val="en-US" w:eastAsia="zh-CN"/>
              </w:rPr>
              <w:t>，颗粒物满足《水泥工业大气污染物排放标准》（GB4915-2013）中</w:t>
            </w:r>
            <w:r>
              <w:rPr>
                <w:rFonts w:hint="eastAsia" w:cs="Times New Roman"/>
                <w:b w:val="0"/>
                <w:bCs/>
                <w:color w:val="auto"/>
                <w:spacing w:val="0"/>
                <w:sz w:val="24"/>
                <w:szCs w:val="24"/>
                <w:highlight w:val="none"/>
                <w:lang w:val="en-US" w:eastAsia="zh-CN"/>
              </w:rPr>
              <w:t>表</w:t>
            </w:r>
            <w:r>
              <w:rPr>
                <w:rFonts w:hint="default" w:ascii="Times New Roman" w:hAnsi="Times New Roman" w:cs="Times New Roman"/>
                <w:b w:val="0"/>
                <w:bCs/>
                <w:color w:val="auto"/>
                <w:spacing w:val="0"/>
                <w:sz w:val="24"/>
                <w:szCs w:val="24"/>
                <w:highlight w:val="none"/>
                <w:lang w:val="en-US" w:eastAsia="zh-CN"/>
              </w:rPr>
              <w:t>3</w:t>
            </w:r>
            <w:r>
              <w:rPr>
                <w:rFonts w:hint="eastAsia" w:cs="Times New Roman"/>
                <w:b w:val="0"/>
                <w:bCs/>
                <w:color w:val="auto"/>
                <w:spacing w:val="0"/>
                <w:sz w:val="24"/>
                <w:szCs w:val="24"/>
                <w:highlight w:val="none"/>
                <w:lang w:val="en-US" w:eastAsia="zh-CN"/>
              </w:rPr>
              <w:t>标准限值</w:t>
            </w:r>
            <w:r>
              <w:rPr>
                <w:rFonts w:hint="default" w:ascii="Times New Roman" w:hAnsi="Times New Roman" w:eastAsia="宋体" w:cs="Times New Roman"/>
                <w:b w:val="0"/>
                <w:bCs/>
                <w:color w:val="auto"/>
                <w:spacing w:val="0"/>
                <w:sz w:val="24"/>
                <w:szCs w:val="24"/>
                <w:highlight w:val="none"/>
                <w:lang w:val="en-US" w:eastAsia="zh-CN"/>
              </w:rPr>
              <w:t>。</w:t>
            </w:r>
            <w:r>
              <w:rPr>
                <w:rFonts w:hint="default" w:ascii="Times New Roman" w:hAnsi="Times New Roman" w:eastAsia="宋体" w:cs="Times New Roman"/>
                <w:b w:val="0"/>
                <w:bCs/>
                <w:color w:val="auto"/>
                <w:sz w:val="24"/>
                <w:szCs w:val="24"/>
                <w:lang w:val="en-US" w:eastAsia="zh-CN"/>
              </w:rPr>
              <w:t>本项目的建设符合《黑龙江省“十四五”生态环境保护规划》要求。</w:t>
            </w:r>
          </w:p>
          <w:p>
            <w:pPr>
              <w:pStyle w:val="12"/>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5、与《黑龙江省空气质量持续改善行动计划实施方案》（黑政发</w:t>
            </w:r>
            <w:r>
              <w:rPr>
                <w:rFonts w:hint="default" w:ascii="Times New Roman" w:hAnsi="Times New Roman" w:eastAsia="宋体" w:cs="Times New Roman"/>
                <w:b/>
                <w:bCs/>
                <w:color w:val="auto"/>
                <w:sz w:val="24"/>
                <w:szCs w:val="24"/>
                <w:highlight w:val="none"/>
                <w:lang w:val="en-US" w:eastAsia="zh-CN"/>
              </w:rPr>
              <w:t>〔2023〕19号）符合性分析</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kern w:val="0"/>
                <w:sz w:val="24"/>
                <w:szCs w:val="24"/>
                <w:shd w:val="clear" w:color="auto" w:fill="FFFFFF"/>
                <w:lang w:bidi="ar"/>
              </w:rPr>
            </w:pPr>
            <w:r>
              <w:rPr>
                <w:rFonts w:hint="default" w:ascii="Times New Roman" w:hAnsi="Times New Roman" w:cs="Times New Roman"/>
                <w:color w:val="auto"/>
                <w:kern w:val="0"/>
                <w:sz w:val="24"/>
                <w:szCs w:val="24"/>
                <w:shd w:val="clear" w:color="auto" w:fill="FFFFFF"/>
                <w:lang w:bidi="ar"/>
              </w:rPr>
              <w:t>根据《</w:t>
            </w:r>
            <w:r>
              <w:rPr>
                <w:rFonts w:hint="default" w:ascii="Times New Roman" w:hAnsi="Times New Roman" w:cs="Times New Roman"/>
                <w:color w:val="auto"/>
                <w:sz w:val="24"/>
                <w:szCs w:val="24"/>
              </w:rPr>
              <w:t>黑龙江省空气质量持续改善行动计划实施方案</w:t>
            </w:r>
            <w:r>
              <w:rPr>
                <w:rFonts w:hint="default" w:ascii="Times New Roman" w:hAnsi="Times New Roman" w:cs="Times New Roman"/>
                <w:color w:val="auto"/>
                <w:kern w:val="0"/>
                <w:sz w:val="24"/>
                <w:szCs w:val="24"/>
                <w:shd w:val="clear" w:color="auto" w:fill="FFFFFF"/>
                <w:lang w:bidi="ar"/>
              </w:rPr>
              <w:t>》</w:t>
            </w:r>
            <w:r>
              <w:rPr>
                <w:rFonts w:hint="eastAsia" w:ascii="Times New Roman" w:hAnsi="Times New Roman" w:cs="Times New Roman"/>
                <w:color w:val="auto"/>
                <w:kern w:val="0"/>
                <w:sz w:val="24"/>
                <w:szCs w:val="24"/>
                <w:shd w:val="clear" w:color="auto" w:fill="FFFFFF"/>
                <w:lang w:eastAsia="zh-CN" w:bidi="ar"/>
              </w:rPr>
              <w:t>（</w:t>
            </w:r>
            <w:r>
              <w:rPr>
                <w:rFonts w:hint="default" w:ascii="Times New Roman" w:hAnsi="Times New Roman" w:cs="Times New Roman"/>
                <w:color w:val="auto"/>
                <w:kern w:val="0"/>
                <w:sz w:val="24"/>
                <w:szCs w:val="24"/>
                <w:shd w:val="clear" w:color="auto" w:fill="FFFFFF"/>
                <w:lang w:bidi="ar"/>
              </w:rPr>
              <w:t>十九</w:t>
            </w:r>
            <w:r>
              <w:rPr>
                <w:rFonts w:hint="eastAsia" w:ascii="Times New Roman" w:hAnsi="Times New Roman" w:cs="Times New Roman"/>
                <w:color w:val="auto"/>
                <w:kern w:val="0"/>
                <w:sz w:val="24"/>
                <w:szCs w:val="24"/>
                <w:shd w:val="clear" w:color="auto" w:fill="FFFFFF"/>
                <w:lang w:eastAsia="zh-CN" w:bidi="ar"/>
              </w:rPr>
              <w:t>）</w:t>
            </w:r>
            <w:r>
              <w:rPr>
                <w:rFonts w:hint="default" w:ascii="Times New Roman" w:hAnsi="Times New Roman" w:cs="Times New Roman"/>
                <w:color w:val="auto"/>
                <w:kern w:val="0"/>
                <w:sz w:val="24"/>
                <w:szCs w:val="24"/>
                <w:shd w:val="clear" w:color="auto" w:fill="FFFFFF"/>
                <w:lang w:bidi="ar"/>
              </w:rPr>
              <w:t>深化扬尘污染综合治理。全面推行绿色施工，严格执行“六个百分之百”，将防治扬尘污染费用纳入工程造价。到2025年，装配式建筑占新建建筑面积的比例达到30%;地级及以上城市建成区道路机械化清扫率达80%左右，县城达70%左右。对城市公共裸地进行排查建档并采取防尘措施。城市大型煤炭、矿石等干散货码头物料堆场基本完成抑尘设施建设和物料输送系统封闭改造。</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shd w:val="clear" w:color="auto" w:fill="FFFFFF"/>
                <w:lang w:bidi="ar"/>
              </w:rPr>
              <w:t>（二十三）推进重点行业污染深度治理。高质量推动钢铁、水泥、焦化等重点行业及锅炉超低排放改造。</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shd w:val="clear" w:color="auto" w:fill="FFFFFF"/>
                <w:lang w:bidi="ar"/>
              </w:rPr>
              <w:t>加强工业企业监管，确保全面稳定达标排放。结合新制（修）订的排放标准，推进玻璃、石灰、矿棉、有色等行</w:t>
            </w:r>
            <w:r>
              <w:rPr>
                <w:rFonts w:hint="default" w:ascii="Times New Roman" w:hAnsi="Times New Roman" w:cs="Times New Roman"/>
                <w:color w:val="auto"/>
                <w:kern w:val="0"/>
                <w:sz w:val="24"/>
                <w:szCs w:val="24"/>
                <w:highlight w:val="none"/>
                <w:shd w:val="clear" w:color="auto" w:fill="FFFFFF"/>
                <w:lang w:bidi="ar"/>
              </w:rPr>
              <w:t>业实施深度治理。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bCs/>
                <w:color w:val="auto"/>
                <w:kern w:val="0"/>
                <w:sz w:val="24"/>
                <w:szCs w:val="21"/>
                <w:highlight w:val="yellow"/>
              </w:rPr>
            </w:pPr>
            <w:r>
              <w:rPr>
                <w:rFonts w:hint="default" w:ascii="Times New Roman" w:hAnsi="Times New Roman" w:eastAsia="宋体" w:cs="Times New Roman"/>
                <w:b w:val="0"/>
                <w:bCs/>
                <w:color w:val="auto"/>
                <w:sz w:val="24"/>
                <w:szCs w:val="24"/>
                <w:highlight w:val="none"/>
              </w:rPr>
              <w:t>本项目</w:t>
            </w:r>
            <w:r>
              <w:rPr>
                <w:rFonts w:hint="default" w:ascii="Times New Roman" w:hAnsi="Times New Roman" w:eastAsia="宋体" w:cs="Times New Roman"/>
                <w:b w:val="0"/>
                <w:bCs/>
                <w:color w:val="auto"/>
                <w:sz w:val="24"/>
                <w:szCs w:val="24"/>
                <w:highlight w:val="none"/>
                <w:lang w:val="en-US" w:eastAsia="zh-CN"/>
              </w:rPr>
              <w:t>运行期</w:t>
            </w:r>
            <w:r>
              <w:rPr>
                <w:rFonts w:hint="eastAsia" w:ascii="Times New Roman" w:hAnsi="Times New Roman" w:eastAsia="宋体" w:cs="Times New Roman"/>
                <w:b w:val="0"/>
                <w:bCs/>
                <w:color w:val="auto"/>
                <w:spacing w:val="0"/>
                <w:sz w:val="24"/>
                <w:szCs w:val="24"/>
                <w:highlight w:val="none"/>
              </w:rPr>
              <w:t>原料</w:t>
            </w:r>
            <w:r>
              <w:rPr>
                <w:rFonts w:hint="default" w:ascii="Times New Roman" w:hAnsi="Times New Roman" w:eastAsia="宋体" w:cs="Times New Roman"/>
                <w:b w:val="0"/>
                <w:bCs/>
                <w:color w:val="auto"/>
                <w:spacing w:val="0"/>
                <w:sz w:val="24"/>
                <w:szCs w:val="24"/>
                <w:highlight w:val="none"/>
              </w:rPr>
              <w:t>采用卡车运输，卡车用苫布苫盖</w:t>
            </w:r>
            <w:r>
              <w:rPr>
                <w:rFonts w:hint="eastAsia" w:ascii="Times New Roman" w:hAnsi="Times New Roman" w:eastAsia="宋体" w:cs="Times New Roman"/>
                <w:b w:val="0"/>
                <w:bCs/>
                <w:color w:val="auto"/>
                <w:spacing w:val="0"/>
                <w:sz w:val="24"/>
                <w:szCs w:val="24"/>
                <w:highlight w:val="none"/>
              </w:rPr>
              <w:t>，</w:t>
            </w:r>
            <w:r>
              <w:rPr>
                <w:rFonts w:hint="eastAsia" w:cs="Times New Roman"/>
                <w:b w:val="0"/>
                <w:bCs/>
                <w:color w:val="auto"/>
                <w:spacing w:val="0"/>
                <w:sz w:val="24"/>
                <w:szCs w:val="24"/>
                <w:highlight w:val="none"/>
                <w:lang w:eastAsia="zh-CN"/>
              </w:rPr>
              <w:t>水泥采用专用水泥运输罐车运输</w:t>
            </w:r>
            <w:r>
              <w:rPr>
                <w:rFonts w:hint="eastAsia" w:ascii="Times New Roman" w:hAnsi="Times New Roman" w:eastAsia="宋体" w:cs="Times New Roman"/>
                <w:b w:val="0"/>
                <w:bCs/>
                <w:color w:val="auto"/>
                <w:spacing w:val="0"/>
                <w:sz w:val="24"/>
                <w:szCs w:val="24"/>
                <w:highlight w:val="none"/>
                <w:lang w:val="en-US" w:eastAsia="zh-CN"/>
              </w:rPr>
              <w:t>，且对厂区进行洒水抑尘</w:t>
            </w:r>
            <w:r>
              <w:rPr>
                <w:rFonts w:hint="eastAsia" w:ascii="Times New Roman" w:hAnsi="Times New Roman" w:eastAsia="宋体" w:cs="Times New Roman"/>
                <w:b w:val="0"/>
                <w:bCs/>
                <w:color w:val="auto"/>
                <w:spacing w:val="0"/>
                <w:sz w:val="24"/>
                <w:szCs w:val="24"/>
                <w:highlight w:val="none"/>
              </w:rPr>
              <w:t>；本项目</w:t>
            </w:r>
            <w:r>
              <w:rPr>
                <w:rFonts w:hint="eastAsia" w:ascii="Times New Roman" w:hAnsi="Times New Roman" w:eastAsia="宋体" w:cs="Times New Roman"/>
                <w:b w:val="0"/>
                <w:bCs/>
                <w:color w:val="auto"/>
                <w:spacing w:val="0"/>
                <w:sz w:val="24"/>
                <w:szCs w:val="24"/>
                <w:highlight w:val="none"/>
                <w:lang w:val="en-US" w:eastAsia="zh-CN"/>
              </w:rPr>
              <w:t>砂石料</w:t>
            </w:r>
            <w:r>
              <w:rPr>
                <w:rFonts w:hint="default" w:ascii="Times New Roman" w:hAnsi="Times New Roman" w:eastAsia="宋体" w:cs="Times New Roman"/>
                <w:b w:val="0"/>
                <w:bCs/>
                <w:color w:val="auto"/>
                <w:spacing w:val="0"/>
                <w:sz w:val="24"/>
                <w:szCs w:val="24"/>
                <w:highlight w:val="none"/>
                <w:lang w:val="en-US" w:eastAsia="zh-CN"/>
              </w:rPr>
              <w:t>堆</w:t>
            </w:r>
            <w:r>
              <w:rPr>
                <w:rFonts w:hint="eastAsia" w:ascii="Times New Roman" w:hAnsi="Times New Roman" w:eastAsia="宋体" w:cs="Times New Roman"/>
                <w:b w:val="0"/>
                <w:bCs/>
                <w:color w:val="auto"/>
                <w:spacing w:val="0"/>
                <w:sz w:val="24"/>
                <w:szCs w:val="24"/>
                <w:highlight w:val="none"/>
                <w:lang w:val="en-US" w:eastAsia="zh-CN"/>
              </w:rPr>
              <w:t>场</w:t>
            </w:r>
            <w:r>
              <w:rPr>
                <w:rFonts w:hint="eastAsia" w:ascii="Times New Roman" w:hAnsi="Times New Roman" w:eastAsia="宋体" w:cs="Times New Roman"/>
                <w:b w:val="0"/>
                <w:bCs/>
                <w:color w:val="auto"/>
                <w:spacing w:val="0"/>
                <w:sz w:val="24"/>
                <w:szCs w:val="24"/>
                <w:highlight w:val="none"/>
                <w:lang w:eastAsia="zh-CN"/>
              </w:rPr>
              <w:t>四周设置</w:t>
            </w:r>
            <w:r>
              <w:rPr>
                <w:rFonts w:hint="default" w:ascii="Times New Roman" w:hAnsi="Times New Roman" w:eastAsia="宋体" w:cs="Times New Roman"/>
                <w:b w:val="0"/>
                <w:bCs/>
                <w:color w:val="auto"/>
                <w:spacing w:val="0"/>
                <w:sz w:val="24"/>
                <w:szCs w:val="24"/>
                <w:highlight w:val="none"/>
                <w:lang w:val="en-US" w:eastAsia="zh-CN"/>
              </w:rPr>
              <w:t>防风抑尘网</w:t>
            </w:r>
            <w:r>
              <w:rPr>
                <w:rFonts w:hint="eastAsia" w:ascii="Times New Roman" w:hAnsi="Times New Roman" w:eastAsia="宋体" w:cs="Times New Roman"/>
                <w:b w:val="0"/>
                <w:bCs/>
                <w:color w:val="auto"/>
                <w:spacing w:val="0"/>
                <w:sz w:val="24"/>
                <w:szCs w:val="24"/>
                <w:highlight w:val="none"/>
                <w:lang w:val="en-US" w:eastAsia="zh-CN"/>
              </w:rPr>
              <w:t>，并洒水抑尘；水泥和粉煤灰采用筒仓存储，水泥、粉煤灰筒仓</w:t>
            </w:r>
            <w:r>
              <w:rPr>
                <w:rFonts w:hint="eastAsia" w:ascii="Times New Roman" w:hAnsi="Times New Roman" w:eastAsia="宋体" w:cs="Times New Roman"/>
                <w:b w:val="0"/>
                <w:bCs/>
                <w:color w:val="auto"/>
                <w:spacing w:val="0"/>
                <w:sz w:val="24"/>
                <w:szCs w:val="24"/>
                <w:highlight w:val="none"/>
              </w:rPr>
              <w:t>均配备仓顶式布袋除尘器，废气经处理后由无组织形式排放；</w:t>
            </w:r>
            <w:r>
              <w:rPr>
                <w:rFonts w:hint="eastAsia" w:ascii="Times New Roman" w:hAnsi="Times New Roman" w:eastAsia="宋体" w:cs="Times New Roman"/>
                <w:b w:val="0"/>
                <w:bCs/>
                <w:color w:val="auto"/>
                <w:spacing w:val="0"/>
                <w:sz w:val="24"/>
                <w:szCs w:val="24"/>
                <w:highlight w:val="none"/>
                <w:lang w:val="en-US" w:eastAsia="zh-CN"/>
              </w:rPr>
              <w:t>投料</w:t>
            </w:r>
            <w:r>
              <w:rPr>
                <w:rFonts w:hint="default" w:ascii="Times New Roman" w:hAnsi="Times New Roman" w:eastAsia="宋体" w:cs="Times New Roman"/>
                <w:b w:val="0"/>
                <w:bCs/>
                <w:color w:val="auto"/>
                <w:spacing w:val="0"/>
                <w:sz w:val="24"/>
                <w:szCs w:val="24"/>
                <w:highlight w:val="none"/>
                <w:lang w:val="en-US" w:eastAsia="zh-CN"/>
              </w:rPr>
              <w:t>斗设置</w:t>
            </w:r>
            <w:r>
              <w:rPr>
                <w:rFonts w:hint="eastAsia" w:ascii="Times New Roman" w:hAnsi="Times New Roman" w:eastAsia="宋体" w:cs="Times New Roman"/>
                <w:b w:val="0"/>
                <w:bCs/>
                <w:color w:val="auto"/>
                <w:spacing w:val="0"/>
                <w:sz w:val="24"/>
                <w:szCs w:val="24"/>
                <w:highlight w:val="none"/>
                <w:lang w:val="en-US" w:eastAsia="zh-CN"/>
              </w:rPr>
              <w:t>在</w:t>
            </w:r>
            <w:r>
              <w:rPr>
                <w:rFonts w:hint="eastAsia" w:ascii="Times New Roman" w:hAnsi="Times New Roman" w:eastAsia="宋体" w:cs="Times New Roman"/>
                <w:b w:val="0"/>
                <w:bCs/>
                <w:color w:val="auto"/>
                <w:kern w:val="2"/>
                <w:sz w:val="24"/>
                <w:szCs w:val="24"/>
                <w:highlight w:val="none"/>
                <w:lang w:val="en-US" w:eastAsia="zh-CN" w:bidi="ar-SA"/>
              </w:rPr>
              <w:t>半封闭式罩棚内</w:t>
            </w:r>
            <w:r>
              <w:rPr>
                <w:rFonts w:hint="default"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lang w:val="en-US" w:eastAsia="zh-CN"/>
              </w:rPr>
              <w:t>并在投料</w:t>
            </w:r>
            <w:r>
              <w:rPr>
                <w:rFonts w:hint="default" w:ascii="Times New Roman" w:hAnsi="Times New Roman" w:eastAsia="宋体" w:cs="Times New Roman"/>
                <w:b w:val="0"/>
                <w:bCs/>
                <w:color w:val="auto"/>
                <w:spacing w:val="0"/>
                <w:sz w:val="24"/>
                <w:szCs w:val="24"/>
                <w:highlight w:val="none"/>
                <w:lang w:val="en-US" w:eastAsia="zh-CN"/>
              </w:rPr>
              <w:t>斗</w:t>
            </w:r>
            <w:r>
              <w:rPr>
                <w:rFonts w:hint="eastAsia" w:ascii="Times New Roman" w:hAnsi="Times New Roman" w:eastAsia="宋体" w:cs="Times New Roman"/>
                <w:b w:val="0"/>
                <w:bCs/>
                <w:color w:val="auto"/>
                <w:spacing w:val="0"/>
                <w:sz w:val="24"/>
                <w:szCs w:val="24"/>
                <w:highlight w:val="none"/>
                <w:lang w:val="en-US" w:eastAsia="zh-CN"/>
              </w:rPr>
              <w:t>上方</w:t>
            </w:r>
            <w:r>
              <w:rPr>
                <w:rFonts w:hint="default" w:ascii="Times New Roman" w:hAnsi="Times New Roman" w:eastAsia="宋体" w:cs="Times New Roman"/>
                <w:b w:val="0"/>
                <w:bCs/>
                <w:color w:val="auto"/>
                <w:spacing w:val="0"/>
                <w:sz w:val="24"/>
                <w:szCs w:val="24"/>
                <w:highlight w:val="none"/>
                <w:lang w:val="en-US" w:eastAsia="zh-CN"/>
              </w:rPr>
              <w:t>设置</w:t>
            </w:r>
            <w:r>
              <w:rPr>
                <w:rFonts w:hint="eastAsia" w:ascii="Times New Roman" w:hAnsi="Times New Roman" w:eastAsia="宋体" w:cs="Times New Roman"/>
                <w:b w:val="0"/>
                <w:bCs/>
                <w:color w:val="auto"/>
                <w:spacing w:val="0"/>
                <w:sz w:val="24"/>
                <w:szCs w:val="24"/>
                <w:highlight w:val="none"/>
                <w:lang w:val="en-US" w:eastAsia="zh-CN"/>
              </w:rPr>
              <w:t>雾化喷淋装置；水泥、砂石、粉煤灰进入搅拌机均采用密闭式输送；</w:t>
            </w:r>
            <w:r>
              <w:rPr>
                <w:rFonts w:hint="eastAsia" w:ascii="Times New Roman" w:hAnsi="Times New Roman" w:eastAsia="宋体" w:cs="Times New Roman"/>
                <w:b w:val="0"/>
                <w:bCs/>
                <w:color w:val="auto"/>
                <w:spacing w:val="0"/>
                <w:sz w:val="24"/>
                <w:szCs w:val="24"/>
                <w:highlight w:val="none"/>
              </w:rPr>
              <w:t>厂区地面进行硬化，定时洒水抑尘</w:t>
            </w:r>
            <w:r>
              <w:rPr>
                <w:rFonts w:hint="default" w:ascii="Times New Roman" w:hAnsi="Times New Roman" w:eastAsia="宋体" w:cs="Times New Roman"/>
                <w:b w:val="0"/>
                <w:bCs/>
                <w:color w:val="auto"/>
                <w:spacing w:val="0"/>
                <w:sz w:val="24"/>
                <w:szCs w:val="24"/>
                <w:highlight w:val="none"/>
              </w:rPr>
              <w:t>。通过采取</w:t>
            </w:r>
            <w:r>
              <w:rPr>
                <w:rFonts w:hint="default" w:ascii="Times New Roman" w:hAnsi="Times New Roman" w:eastAsia="宋体" w:cs="Times New Roman"/>
                <w:b w:val="0"/>
                <w:bCs/>
                <w:color w:val="auto"/>
                <w:spacing w:val="0"/>
                <w:sz w:val="24"/>
                <w:szCs w:val="24"/>
                <w:highlight w:val="none"/>
                <w:lang w:val="en-US" w:eastAsia="zh-CN"/>
              </w:rPr>
              <w:t>以上降尘措施后，颗粒物厂界外无组织排放监控点浓度满足《水泥工业大气污染物排放标准》（GB4915-2013）表3中标准要求。</w:t>
            </w:r>
            <w:r>
              <w:rPr>
                <w:rFonts w:hint="eastAsia" w:ascii="Times New Roman" w:hAnsi="Times New Roman" w:eastAsia="宋体" w:cs="Times New Roman"/>
                <w:b w:val="0"/>
                <w:bCs/>
                <w:color w:val="auto"/>
                <w:spacing w:val="0"/>
                <w:sz w:val="24"/>
                <w:szCs w:val="24"/>
                <w:highlight w:val="none"/>
                <w:lang w:val="en-US" w:eastAsia="zh-CN"/>
              </w:rPr>
              <w:t>混凝土</w:t>
            </w:r>
            <w:r>
              <w:rPr>
                <w:rFonts w:hint="default" w:ascii="Times New Roman" w:hAnsi="Times New Roman" w:eastAsia="宋体" w:cs="Times New Roman"/>
                <w:b w:val="0"/>
                <w:bCs/>
                <w:color w:val="auto"/>
                <w:spacing w:val="0"/>
                <w:sz w:val="24"/>
                <w:szCs w:val="24"/>
                <w:highlight w:val="none"/>
                <w:lang w:val="en-US" w:eastAsia="zh-CN"/>
              </w:rPr>
              <w:t>搅拌机通气口设置1套布袋除尘器，搅拌主机卸料口应设置</w:t>
            </w:r>
            <w:r>
              <w:rPr>
                <w:rFonts w:hint="eastAsia" w:ascii="Times New Roman" w:hAnsi="Times New Roman" w:eastAsia="宋体" w:cs="Times New Roman"/>
                <w:b w:val="0"/>
                <w:bCs/>
                <w:color w:val="auto"/>
                <w:spacing w:val="0"/>
                <w:sz w:val="24"/>
                <w:szCs w:val="24"/>
                <w:highlight w:val="none"/>
                <w:lang w:val="en-US" w:eastAsia="zh-CN"/>
              </w:rPr>
              <w:t>防喷溅设施，</w:t>
            </w:r>
            <w:r>
              <w:rPr>
                <w:rFonts w:hint="eastAsia" w:cs="Times New Roman"/>
                <w:b w:val="0"/>
                <w:bCs/>
                <w:color w:val="auto"/>
                <w:spacing w:val="0"/>
                <w:sz w:val="24"/>
                <w:szCs w:val="24"/>
                <w:highlight w:val="none"/>
                <w:lang w:val="en-US" w:eastAsia="zh-CN"/>
              </w:rPr>
              <w:t>粉尘经除尘器处理后以无组织形式排放至车间内部</w:t>
            </w:r>
            <w:r>
              <w:rPr>
                <w:rFonts w:hint="default" w:ascii="Times New Roman" w:hAnsi="Times New Roman" w:eastAsia="宋体" w:cs="Times New Roman"/>
                <w:b w:val="0"/>
                <w:bCs/>
                <w:color w:val="auto"/>
                <w:spacing w:val="0"/>
                <w:sz w:val="24"/>
                <w:szCs w:val="24"/>
                <w:highlight w:val="none"/>
                <w:lang w:val="en-US" w:eastAsia="zh-CN"/>
              </w:rPr>
              <w:t>，颗粒物满足《水泥工业大气污染物排放标准》（GB4915-2013）中</w:t>
            </w:r>
            <w:r>
              <w:rPr>
                <w:rFonts w:hint="eastAsia" w:cs="Times New Roman"/>
                <w:b w:val="0"/>
                <w:bCs/>
                <w:color w:val="auto"/>
                <w:spacing w:val="0"/>
                <w:sz w:val="24"/>
                <w:szCs w:val="24"/>
                <w:highlight w:val="none"/>
                <w:lang w:val="en-US" w:eastAsia="zh-CN"/>
              </w:rPr>
              <w:t>表</w:t>
            </w:r>
            <w:r>
              <w:rPr>
                <w:rFonts w:hint="default" w:ascii="Times New Roman" w:hAnsi="Times New Roman" w:cs="Times New Roman"/>
                <w:b w:val="0"/>
                <w:bCs/>
                <w:color w:val="auto"/>
                <w:spacing w:val="0"/>
                <w:sz w:val="24"/>
                <w:szCs w:val="24"/>
                <w:highlight w:val="none"/>
                <w:lang w:val="en-US" w:eastAsia="zh-CN"/>
              </w:rPr>
              <w:t>3</w:t>
            </w:r>
            <w:r>
              <w:rPr>
                <w:rFonts w:hint="eastAsia" w:cs="Times New Roman"/>
                <w:b w:val="0"/>
                <w:bCs/>
                <w:color w:val="auto"/>
                <w:spacing w:val="0"/>
                <w:sz w:val="24"/>
                <w:szCs w:val="24"/>
                <w:highlight w:val="none"/>
                <w:lang w:val="en-US" w:eastAsia="zh-CN"/>
              </w:rPr>
              <w:t>标准限值</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cs="Times New Roman"/>
                <w:color w:val="auto"/>
                <w:sz w:val="24"/>
                <w:szCs w:val="24"/>
                <w:highlight w:val="none"/>
              </w:rPr>
              <w:t>因此项目建设符合《黑龙江省空气质量持续改善行动计划实施方案》要求。</w:t>
            </w:r>
          </w:p>
          <w:p>
            <w:pPr>
              <w:pStyle w:val="12"/>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、与《</w:t>
            </w:r>
            <w:r>
              <w:rPr>
                <w:rFonts w:hint="eastAsia" w:cs="Times New Roman"/>
                <w:b/>
                <w:bCs/>
                <w:color w:val="auto"/>
                <w:sz w:val="24"/>
                <w:szCs w:val="24"/>
                <w:highlight w:val="none"/>
                <w:lang w:val="en-US" w:eastAsia="zh-CN"/>
              </w:rPr>
              <w:t>伊春</w:t>
            </w:r>
            <w:r>
              <w:rPr>
                <w:rFonts w:hint="eastAsia" w:ascii="Times New Roman" w:hAnsi="Times New Roman" w:eastAsia="宋体" w:cs="Times New Roman"/>
                <w:b/>
                <w:bCs/>
                <w:color w:val="auto"/>
                <w:sz w:val="24"/>
                <w:szCs w:val="24"/>
                <w:highlight w:val="none"/>
                <w:lang w:val="en-US" w:eastAsia="zh-CN"/>
              </w:rPr>
              <w:t>市“十四五”生态环境保护规划》符合性分析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本项目与《伊春市“十四五”生态环境保护规划》的符合性分析，详见表</w:t>
            </w:r>
            <w:r>
              <w:rPr>
                <w:rFonts w:hint="default"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w:t>
            </w:r>
          </w:p>
          <w:p>
            <w:pPr>
              <w:pStyle w:val="182"/>
              <w:keepNext w:val="0"/>
              <w:keepLines w:val="0"/>
              <w:pageBreakBefore w:val="0"/>
              <w:widowControl/>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color w:val="auto"/>
                <w:spacing w:val="0"/>
                <w:sz w:val="24"/>
                <w:highlight w:val="none"/>
                <w:lang w:val="en-US" w:eastAsia="zh-CN"/>
              </w:rPr>
            </w:pPr>
            <w:r>
              <w:rPr>
                <w:rFonts w:hint="default" w:ascii="Times New Roman" w:hAnsi="Times New Roman" w:eastAsia="宋体" w:cs="Times New Roman"/>
                <w:b/>
                <w:bCs/>
                <w:color w:val="auto"/>
                <w:spacing w:val="0"/>
                <w:sz w:val="24"/>
                <w:highlight w:val="none"/>
                <w:lang w:val="en-US" w:eastAsia="zh-CN"/>
              </w:rPr>
              <w:t>表1-</w:t>
            </w:r>
            <w:r>
              <w:rPr>
                <w:rFonts w:hint="eastAsia" w:eastAsia="宋体" w:cs="Times New Roman"/>
                <w:b/>
                <w:bCs/>
                <w:color w:val="auto"/>
                <w:spacing w:val="0"/>
                <w:sz w:val="24"/>
                <w:highlight w:val="none"/>
                <w:lang w:val="en-US" w:eastAsia="zh-CN"/>
              </w:rPr>
              <w:t>4</w:t>
            </w:r>
            <w:r>
              <w:rPr>
                <w:rFonts w:hint="default" w:ascii="Times New Roman" w:hAnsi="Times New Roman" w:eastAsia="宋体" w:cs="Times New Roman"/>
                <w:b/>
                <w:bCs/>
                <w:color w:val="auto"/>
                <w:spacing w:val="0"/>
                <w:sz w:val="24"/>
                <w:highlight w:val="none"/>
                <w:lang w:val="en-US" w:eastAsia="zh-CN"/>
              </w:rPr>
              <w:t>与</w:t>
            </w:r>
            <w:r>
              <w:rPr>
                <w:rFonts w:hint="eastAsia" w:ascii="Times New Roman" w:hAnsi="Times New Roman" w:eastAsia="宋体" w:cs="Times New Roman"/>
                <w:b/>
                <w:bCs/>
                <w:color w:val="auto"/>
                <w:spacing w:val="0"/>
                <w:sz w:val="24"/>
                <w:highlight w:val="none"/>
                <w:lang w:val="en-US" w:eastAsia="zh-CN"/>
              </w:rPr>
              <w:t>《</w:t>
            </w:r>
            <w:r>
              <w:rPr>
                <w:rFonts w:hint="eastAsia" w:eastAsia="宋体" w:cs="Times New Roman"/>
                <w:b/>
                <w:bCs/>
                <w:color w:val="auto"/>
                <w:spacing w:val="0"/>
                <w:sz w:val="24"/>
                <w:highlight w:val="none"/>
                <w:lang w:val="en-US" w:eastAsia="zh-CN"/>
              </w:rPr>
              <w:t>伊春</w:t>
            </w:r>
            <w:r>
              <w:rPr>
                <w:rFonts w:hint="eastAsia" w:ascii="Times New Roman" w:hAnsi="Times New Roman" w:eastAsia="宋体" w:cs="Times New Roman"/>
                <w:b/>
                <w:bCs/>
                <w:color w:val="auto"/>
                <w:spacing w:val="0"/>
                <w:sz w:val="24"/>
                <w:highlight w:val="none"/>
                <w:lang w:val="en-US" w:eastAsia="zh-CN"/>
              </w:rPr>
              <w:t>市“十四五”生态环境保护规划》</w:t>
            </w:r>
            <w:r>
              <w:rPr>
                <w:rFonts w:hint="default" w:ascii="Times New Roman" w:hAnsi="Times New Roman" w:eastAsia="宋体" w:cs="Times New Roman"/>
                <w:b/>
                <w:bCs/>
                <w:color w:val="auto"/>
                <w:spacing w:val="0"/>
                <w:sz w:val="24"/>
                <w:highlight w:val="none"/>
                <w:lang w:val="en-US" w:eastAsia="zh-CN"/>
              </w:rPr>
              <w:t>符合性分析</w:t>
            </w:r>
          </w:p>
          <w:tbl>
            <w:tblPr>
              <w:tblStyle w:val="32"/>
              <w:tblW w:w="709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69"/>
              <w:gridCol w:w="3169"/>
              <w:gridCol w:w="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3069" w:type="dxa"/>
                  <w:tcBorders>
                    <w:tl2br w:val="nil"/>
                    <w:tr2bl w:val="nil"/>
                  </w:tcBorders>
                  <w:noWrap w:val="0"/>
                  <w:vAlign w:val="center"/>
                </w:tcPr>
                <w:p>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相关要求</w:t>
                  </w:r>
                </w:p>
              </w:tc>
              <w:tc>
                <w:tcPr>
                  <w:tcW w:w="3169" w:type="dxa"/>
                  <w:tcBorders>
                    <w:tl2br w:val="nil"/>
                    <w:tr2bl w:val="nil"/>
                  </w:tcBorders>
                  <w:noWrap w:val="0"/>
                  <w:vAlign w:val="center"/>
                </w:tcPr>
                <w:p>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黑体" w:hAnsi="黑体" w:eastAsia="黑体" w:cs="黑体"/>
                      <w:b w:val="0"/>
                      <w:bCs/>
                      <w:color w:val="auto"/>
                      <w:sz w:val="21"/>
                      <w:szCs w:val="21"/>
                      <w:highlight w:val="none"/>
                      <w:lang w:val="en-US" w:eastAsia="zh-CN"/>
                    </w:rPr>
                  </w:pPr>
                  <w:r>
                    <w:rPr>
                      <w:rFonts w:hint="default" w:ascii="黑体" w:hAnsi="黑体" w:eastAsia="黑体" w:cs="黑体"/>
                      <w:b w:val="0"/>
                      <w:bCs/>
                      <w:color w:val="auto"/>
                      <w:sz w:val="21"/>
                      <w:szCs w:val="21"/>
                      <w:highlight w:val="none"/>
                      <w:lang w:val="en-US" w:eastAsia="zh-CN"/>
                    </w:rPr>
                    <w:t>本项目情况</w:t>
                  </w:r>
                </w:p>
              </w:tc>
              <w:tc>
                <w:tcPr>
                  <w:tcW w:w="854" w:type="dxa"/>
                  <w:tcBorders>
                    <w:tl2br w:val="nil"/>
                    <w:tr2bl w:val="nil"/>
                  </w:tcBorders>
                  <w:noWrap w:val="0"/>
                  <w:vAlign w:val="center"/>
                </w:tcPr>
                <w:p>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相符</w:t>
                  </w:r>
                </w:p>
                <w:p>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069" w:type="dxa"/>
                  <w:tcBorders>
                    <w:tl2br w:val="nil"/>
                    <w:tr2bl w:val="nil"/>
                  </w:tcBorders>
                  <w:noWrap w:val="0"/>
                  <w:vAlign w:val="center"/>
                </w:tcPr>
                <w:p>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cs="Times New Roman"/>
                      <w:b w:val="0"/>
                      <w:bCs/>
                      <w:color w:val="auto"/>
                      <w:kern w:val="0"/>
                      <w:sz w:val="21"/>
                      <w:szCs w:val="21"/>
                      <w:highlight w:val="none"/>
                      <w:lang w:val="en-US" w:eastAsia="zh-CN" w:bidi="ar-SA"/>
                    </w:rPr>
                    <w:t>三、主要任务</w:t>
                  </w:r>
                </w:p>
                <w:p>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w:t>
                  </w:r>
                  <w:r>
                    <w:rPr>
                      <w:rFonts w:hint="eastAsia" w:ascii="Times New Roman" w:hAnsi="Times New Roman" w:cs="Times New Roman"/>
                      <w:b w:val="0"/>
                      <w:bCs/>
                      <w:color w:val="auto"/>
                      <w:kern w:val="0"/>
                      <w:sz w:val="21"/>
                      <w:szCs w:val="21"/>
                      <w:highlight w:val="none"/>
                      <w:lang w:val="en-US" w:eastAsia="zh-CN" w:bidi="ar-SA"/>
                    </w:rPr>
                    <w:t>二</w:t>
                  </w:r>
                  <w:r>
                    <w:rPr>
                      <w:rFonts w:hint="eastAsia" w:ascii="Times New Roman" w:hAnsi="Times New Roman" w:eastAsia="宋体" w:cs="Times New Roman"/>
                      <w:b w:val="0"/>
                      <w:bCs/>
                      <w:color w:val="auto"/>
                      <w:kern w:val="0"/>
                      <w:sz w:val="21"/>
                      <w:szCs w:val="21"/>
                      <w:highlight w:val="none"/>
                      <w:lang w:val="en-US" w:eastAsia="zh-CN" w:bidi="ar-SA"/>
                    </w:rPr>
                    <w:t>）加强协同治理，巩固空气质量改善成果</w:t>
                  </w:r>
                </w:p>
                <w:p>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jc w:val="both"/>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1.加强细颗粒物污染防治</w:t>
                  </w:r>
                </w:p>
                <w:p>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开展PM</w:t>
                  </w:r>
                  <w:r>
                    <w:rPr>
                      <w:rFonts w:hint="eastAsia" w:ascii="Times New Roman" w:hAnsi="Times New Roman" w:eastAsia="宋体" w:cs="Times New Roman"/>
                      <w:b w:val="0"/>
                      <w:bCs/>
                      <w:color w:val="auto"/>
                      <w:kern w:val="0"/>
                      <w:sz w:val="21"/>
                      <w:szCs w:val="21"/>
                      <w:highlight w:val="none"/>
                      <w:vertAlign w:val="subscript"/>
                      <w:lang w:val="en-US" w:eastAsia="zh-CN" w:bidi="ar-SA"/>
                    </w:rPr>
                    <w:t>2.5</w:t>
                  </w:r>
                  <w:r>
                    <w:rPr>
                      <w:rFonts w:hint="eastAsia" w:ascii="Times New Roman" w:hAnsi="Times New Roman" w:eastAsia="宋体" w:cs="Times New Roman"/>
                      <w:b w:val="0"/>
                      <w:bCs/>
                      <w:color w:val="auto"/>
                      <w:kern w:val="0"/>
                      <w:sz w:val="21"/>
                      <w:szCs w:val="21"/>
                      <w:highlight w:val="none"/>
                      <w:lang w:val="en-US" w:eastAsia="zh-CN" w:bidi="ar-SA"/>
                    </w:rPr>
                    <w:t>（细颗粒物）与臭氧污染协同防治。加强重点时段、重点领域治理，强化差异化和精细化协同管控。</w:t>
                  </w:r>
                </w:p>
                <w:p>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深化燃煤污染治理，严格控制煤炭消费总量。加大清洁能源的供应和推广力度，推进天然气、电能替代燃煤，深入开展工业企业提标改造，推进火电、钢铁企业实施超低排放改造。.........</w:t>
                  </w:r>
                </w:p>
                <w:p>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强化秸秆综合利用和禁烧</w:t>
                  </w:r>
                </w:p>
                <w:p>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在农业节能减排方面，强化秸秆综合利用和禁烧</w:t>
                  </w:r>
                </w:p>
                <w:p>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深化协同防治，全面改善空气质量。实施重点行业VOCs总量控制和源头替代。加强生物质锅炉燃料品质及排放管控，禁止掺烧煤炭、垃圾和工业固废，对不能稳定达标排放的生物质锅炉进行整改。</w:t>
                  </w:r>
                </w:p>
                <w:p>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推进大气氨排放控制，注重源头防控，优化饲料结构，强化畜禽养殖业氨排放综合管控。强化工业源烟气脱硫脱硝氨逃逸防控。推动开展消耗臭氧层物质和氢氟碳化物环境管理。开展重点行业恶臭综合治理，推动恶臭投诉集中的重点企业和园区安装运行在线监测预警系统</w:t>
                  </w:r>
                  <w:r>
                    <w:rPr>
                      <w:rFonts w:hint="eastAsia" w:ascii="Times New Roman" w:hAnsi="Times New Roman" w:cs="Times New Roman"/>
                      <w:b w:val="0"/>
                      <w:bCs/>
                      <w:color w:val="auto"/>
                      <w:kern w:val="0"/>
                      <w:sz w:val="21"/>
                      <w:szCs w:val="21"/>
                      <w:highlight w:val="none"/>
                      <w:lang w:val="en-US" w:eastAsia="zh-CN" w:bidi="ar-SA"/>
                    </w:rPr>
                    <w:t>。</w:t>
                  </w:r>
                </w:p>
              </w:tc>
              <w:tc>
                <w:tcPr>
                  <w:tcW w:w="3169" w:type="dxa"/>
                  <w:tcBorders>
                    <w:tl2br w:val="nil"/>
                    <w:tr2bl w:val="nil"/>
                  </w:tcBorders>
                  <w:noWrap w:val="0"/>
                  <w:vAlign w:val="center"/>
                </w:tcPr>
                <w:p>
                  <w:pPr>
                    <w:pStyle w:val="109"/>
                    <w:keepNext w:val="0"/>
                    <w:keepLines w:val="0"/>
                    <w:pageBreakBefore w:val="0"/>
                    <w:widowControl/>
                    <w:kinsoku/>
                    <w:wordWrap w:val="0"/>
                    <w:overflowPunct/>
                    <w:topLinePunct w:val="0"/>
                    <w:autoSpaceDE/>
                    <w:autoSpaceDN/>
                    <w:bidi w:val="0"/>
                    <w:adjustRightInd w:val="0"/>
                    <w:snapToGrid w:val="0"/>
                    <w:spacing w:before="0" w:after="0" w:line="240" w:lineRule="auto"/>
                    <w:jc w:val="both"/>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本项目未建设锅炉，且不涉及煤炭消耗，运营期主要的动力来源于</w:t>
                  </w:r>
                  <w:r>
                    <w:rPr>
                      <w:rFonts w:hint="eastAsia"/>
                      <w:b w:val="0"/>
                      <w:bCs/>
                      <w:color w:val="auto"/>
                      <w:sz w:val="21"/>
                      <w:szCs w:val="21"/>
                      <w:highlight w:val="none"/>
                    </w:rPr>
                    <w:t>电力。</w:t>
                  </w:r>
                </w:p>
                <w:p>
                  <w:pPr>
                    <w:pStyle w:val="109"/>
                    <w:keepNext w:val="0"/>
                    <w:keepLines w:val="0"/>
                    <w:pageBreakBefore w:val="0"/>
                    <w:widowControl/>
                    <w:kinsoku/>
                    <w:wordWrap w:val="0"/>
                    <w:overflowPunct/>
                    <w:topLinePunct w:val="0"/>
                    <w:autoSpaceDE/>
                    <w:autoSpaceDN/>
                    <w:bidi w:val="0"/>
                    <w:adjustRightInd w:val="0"/>
                    <w:snapToGrid w:val="0"/>
                    <w:spacing w:before="0" w:after="0" w:line="240" w:lineRule="auto"/>
                    <w:ind w:right="113" w:rightChars="0" w:firstLine="0" w:firstLineChars="0"/>
                    <w:jc w:val="both"/>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本项目严格执行扬尘污染综合治理工作。在工程施工期采取在场地四周设置围挡、暂存物料及时苫盖、场地定期洒水抑尘、物料拉运车辆密闭运输或篷布苫盖等措施，减少施工扬尘污染。</w:t>
                  </w:r>
                  <w:r>
                    <w:rPr>
                      <w:rFonts w:hint="default" w:ascii="Times New Roman" w:hAnsi="Times New Roman" w:eastAsia="宋体" w:cs="Times New Roman"/>
                      <w:b w:val="0"/>
                      <w:bCs/>
                      <w:color w:val="auto"/>
                      <w:sz w:val="21"/>
                      <w:szCs w:val="21"/>
                      <w:highlight w:val="none"/>
                      <w:lang w:val="en-US" w:eastAsia="zh-CN"/>
                    </w:rPr>
                    <w:t>本项目运行期</w:t>
                  </w:r>
                  <w:r>
                    <w:rPr>
                      <w:rFonts w:hint="eastAsia" w:ascii="Times New Roman" w:hAnsi="Times New Roman" w:eastAsia="宋体" w:cs="Times New Roman"/>
                      <w:b w:val="0"/>
                      <w:bCs/>
                      <w:color w:val="auto"/>
                      <w:sz w:val="21"/>
                      <w:szCs w:val="21"/>
                      <w:highlight w:val="none"/>
                      <w:lang w:val="en-US" w:eastAsia="zh-CN"/>
                    </w:rPr>
                    <w:t>原料</w:t>
                  </w:r>
                  <w:r>
                    <w:rPr>
                      <w:rFonts w:hint="default" w:ascii="Times New Roman" w:hAnsi="Times New Roman" w:eastAsia="宋体" w:cs="Times New Roman"/>
                      <w:b w:val="0"/>
                      <w:bCs/>
                      <w:color w:val="auto"/>
                      <w:sz w:val="21"/>
                      <w:szCs w:val="21"/>
                      <w:highlight w:val="none"/>
                      <w:lang w:val="en-US" w:eastAsia="zh-CN"/>
                    </w:rPr>
                    <w:t>采用卡车运输，卡车用苫布苫盖</w:t>
                  </w:r>
                  <w:r>
                    <w:rPr>
                      <w:rFonts w:hint="eastAsia" w:ascii="Times New Roman" w:hAnsi="Times New Roman" w:eastAsia="宋体" w:cs="Times New Roman"/>
                      <w:b w:val="0"/>
                      <w:bCs/>
                      <w:color w:val="auto"/>
                      <w:sz w:val="21"/>
                      <w:szCs w:val="21"/>
                      <w:highlight w:val="none"/>
                      <w:lang w:val="en-US" w:eastAsia="zh-CN"/>
                    </w:rPr>
                    <w:t>，水泥采用封用封闭车辆运输，且对厂区进行洒水抑尘；本项目砂石料</w:t>
                  </w:r>
                  <w:r>
                    <w:rPr>
                      <w:rFonts w:hint="default" w:ascii="Times New Roman" w:hAnsi="Times New Roman" w:eastAsia="宋体" w:cs="Times New Roman"/>
                      <w:b w:val="0"/>
                      <w:bCs/>
                      <w:color w:val="auto"/>
                      <w:sz w:val="21"/>
                      <w:szCs w:val="21"/>
                      <w:highlight w:val="none"/>
                      <w:lang w:val="en-US" w:eastAsia="zh-CN"/>
                    </w:rPr>
                    <w:t>堆</w:t>
                  </w:r>
                  <w:r>
                    <w:rPr>
                      <w:rFonts w:hint="eastAsia" w:ascii="Times New Roman" w:hAnsi="Times New Roman" w:eastAsia="宋体" w:cs="Times New Roman"/>
                      <w:b w:val="0"/>
                      <w:bCs/>
                      <w:color w:val="auto"/>
                      <w:sz w:val="21"/>
                      <w:szCs w:val="21"/>
                      <w:highlight w:val="none"/>
                      <w:lang w:val="en-US" w:eastAsia="zh-CN"/>
                    </w:rPr>
                    <w:t>场四周设置</w:t>
                  </w:r>
                  <w:r>
                    <w:rPr>
                      <w:rFonts w:hint="default" w:ascii="Times New Roman" w:hAnsi="Times New Roman" w:eastAsia="宋体" w:cs="Times New Roman"/>
                      <w:b w:val="0"/>
                      <w:bCs/>
                      <w:color w:val="auto"/>
                      <w:sz w:val="21"/>
                      <w:szCs w:val="21"/>
                      <w:highlight w:val="none"/>
                      <w:lang w:val="en-US" w:eastAsia="zh-CN"/>
                    </w:rPr>
                    <w:t>防风抑尘网</w:t>
                  </w:r>
                  <w:r>
                    <w:rPr>
                      <w:rFonts w:hint="eastAsia" w:ascii="Times New Roman" w:hAnsi="Times New Roman" w:eastAsia="宋体" w:cs="Times New Roman"/>
                      <w:b w:val="0"/>
                      <w:bCs/>
                      <w:color w:val="auto"/>
                      <w:sz w:val="21"/>
                      <w:szCs w:val="21"/>
                      <w:highlight w:val="none"/>
                      <w:lang w:val="en-US" w:eastAsia="zh-CN"/>
                    </w:rPr>
                    <w:t>，并洒水抑尘；水泥和粉煤灰采用筒仓存储，水泥、粉煤灰筒仓均配备仓顶式布袋除尘器，废气经处理后由无组织形式排放；投料</w:t>
                  </w:r>
                  <w:r>
                    <w:rPr>
                      <w:rFonts w:hint="default" w:ascii="Times New Roman" w:hAnsi="Times New Roman" w:eastAsia="宋体" w:cs="Times New Roman"/>
                      <w:b w:val="0"/>
                      <w:bCs/>
                      <w:color w:val="auto"/>
                      <w:sz w:val="21"/>
                      <w:szCs w:val="21"/>
                      <w:highlight w:val="none"/>
                      <w:lang w:val="en-US" w:eastAsia="zh-CN"/>
                    </w:rPr>
                    <w:t>斗设置</w:t>
                  </w:r>
                  <w:r>
                    <w:rPr>
                      <w:rFonts w:hint="eastAsia" w:ascii="Times New Roman" w:hAnsi="Times New Roman" w:eastAsia="宋体" w:cs="Times New Roman"/>
                      <w:b w:val="0"/>
                      <w:bCs/>
                      <w:color w:val="auto"/>
                      <w:sz w:val="21"/>
                      <w:szCs w:val="21"/>
                      <w:highlight w:val="none"/>
                      <w:lang w:val="en-US" w:eastAsia="zh-CN"/>
                    </w:rPr>
                    <w:t>在半封闭式罩棚内</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并在投料</w:t>
                  </w:r>
                  <w:r>
                    <w:rPr>
                      <w:rFonts w:hint="default" w:ascii="Times New Roman" w:hAnsi="Times New Roman" w:eastAsia="宋体" w:cs="Times New Roman"/>
                      <w:b w:val="0"/>
                      <w:bCs/>
                      <w:color w:val="auto"/>
                      <w:sz w:val="21"/>
                      <w:szCs w:val="21"/>
                      <w:highlight w:val="none"/>
                      <w:lang w:val="en-US" w:eastAsia="zh-CN"/>
                    </w:rPr>
                    <w:t>斗</w:t>
                  </w:r>
                  <w:r>
                    <w:rPr>
                      <w:rFonts w:hint="eastAsia" w:ascii="Times New Roman" w:hAnsi="Times New Roman" w:eastAsia="宋体" w:cs="Times New Roman"/>
                      <w:b w:val="0"/>
                      <w:bCs/>
                      <w:color w:val="auto"/>
                      <w:sz w:val="21"/>
                      <w:szCs w:val="21"/>
                      <w:highlight w:val="none"/>
                      <w:lang w:val="en-US" w:eastAsia="zh-CN"/>
                    </w:rPr>
                    <w:t>上方</w:t>
                  </w:r>
                  <w:r>
                    <w:rPr>
                      <w:rFonts w:hint="default" w:ascii="Times New Roman" w:hAnsi="Times New Roman" w:eastAsia="宋体" w:cs="Times New Roman"/>
                      <w:b w:val="0"/>
                      <w:bCs/>
                      <w:color w:val="auto"/>
                      <w:sz w:val="21"/>
                      <w:szCs w:val="21"/>
                      <w:highlight w:val="none"/>
                      <w:lang w:val="en-US" w:eastAsia="zh-CN"/>
                    </w:rPr>
                    <w:t>设置</w:t>
                  </w:r>
                  <w:r>
                    <w:rPr>
                      <w:rFonts w:hint="eastAsia" w:ascii="Times New Roman" w:hAnsi="Times New Roman" w:eastAsia="宋体" w:cs="Times New Roman"/>
                      <w:b w:val="0"/>
                      <w:bCs/>
                      <w:color w:val="auto"/>
                      <w:sz w:val="21"/>
                      <w:szCs w:val="21"/>
                      <w:highlight w:val="none"/>
                      <w:lang w:val="en-US" w:eastAsia="zh-CN"/>
                    </w:rPr>
                    <w:t>雾化喷淋装置；水泥、砂石、粉煤灰进入搅拌机均采用密闭式输送；厂区地面进行硬化，定时洒水抑尘</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混凝土</w:t>
                  </w:r>
                  <w:r>
                    <w:rPr>
                      <w:rFonts w:hint="default" w:ascii="Times New Roman" w:hAnsi="Times New Roman" w:eastAsia="宋体" w:cs="Times New Roman"/>
                      <w:b w:val="0"/>
                      <w:bCs/>
                      <w:color w:val="auto"/>
                      <w:sz w:val="21"/>
                      <w:szCs w:val="21"/>
                      <w:highlight w:val="none"/>
                      <w:lang w:val="en-US" w:eastAsia="zh-CN"/>
                    </w:rPr>
                    <w:t>搅拌机通气口设置1套布袋除尘器，搅拌主机卸料口应设置</w:t>
                  </w:r>
                  <w:r>
                    <w:rPr>
                      <w:rFonts w:hint="eastAsia" w:ascii="Times New Roman" w:hAnsi="Times New Roman" w:eastAsia="宋体" w:cs="Times New Roman"/>
                      <w:b w:val="0"/>
                      <w:bCs/>
                      <w:color w:val="auto"/>
                      <w:sz w:val="21"/>
                      <w:szCs w:val="21"/>
                      <w:highlight w:val="none"/>
                      <w:lang w:val="en-US" w:eastAsia="zh-CN"/>
                    </w:rPr>
                    <w:t>防喷溅设施，</w:t>
                  </w:r>
                  <w:r>
                    <w:rPr>
                      <w:rFonts w:hint="default" w:ascii="Times New Roman" w:hAnsi="Times New Roman" w:eastAsia="宋体" w:cs="Times New Roman"/>
                      <w:b w:val="0"/>
                      <w:bCs/>
                      <w:color w:val="auto"/>
                      <w:sz w:val="21"/>
                      <w:szCs w:val="21"/>
                      <w:highlight w:val="none"/>
                      <w:lang w:val="en-US" w:eastAsia="zh-CN"/>
                    </w:rPr>
                    <w:t>废气经除尘器处理后</w:t>
                  </w:r>
                  <w:r>
                    <w:rPr>
                      <w:rFonts w:hint="eastAsia" w:cs="Times New Roman"/>
                      <w:b w:val="0"/>
                      <w:bCs/>
                      <w:color w:val="auto"/>
                      <w:sz w:val="21"/>
                      <w:szCs w:val="21"/>
                      <w:highlight w:val="none"/>
                      <w:lang w:val="en-US" w:eastAsia="zh-CN"/>
                    </w:rPr>
                    <w:t>无组织</w:t>
                  </w:r>
                  <w:r>
                    <w:rPr>
                      <w:rFonts w:hint="default" w:ascii="Times New Roman" w:hAnsi="Times New Roman" w:eastAsia="宋体" w:cs="Times New Roman"/>
                      <w:b w:val="0"/>
                      <w:bCs/>
                      <w:color w:val="auto"/>
                      <w:sz w:val="21"/>
                      <w:szCs w:val="21"/>
                      <w:highlight w:val="none"/>
                      <w:lang w:val="en-US" w:eastAsia="zh-CN"/>
                    </w:rPr>
                    <w:t>排放</w:t>
                  </w:r>
                  <w:r>
                    <w:rPr>
                      <w:rFonts w:hint="eastAsia" w:ascii="Times New Roman" w:hAnsi="Times New Roman" w:eastAsia="宋体" w:cs="Times New Roman"/>
                      <w:b w:val="0"/>
                      <w:bCs/>
                      <w:color w:val="auto"/>
                      <w:sz w:val="21"/>
                      <w:szCs w:val="21"/>
                      <w:highlight w:val="none"/>
                      <w:lang w:val="en-US" w:eastAsia="zh-CN"/>
                    </w:rPr>
                    <w:t>。</w:t>
                  </w:r>
                </w:p>
              </w:tc>
              <w:tc>
                <w:tcPr>
                  <w:tcW w:w="854"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baseline"/>
                    <w:rPr>
                      <w:rFonts w:hint="default"/>
                      <w:b w:val="0"/>
                      <w:bCs/>
                      <w:color w:val="auto"/>
                      <w:sz w:val="21"/>
                      <w:szCs w:val="21"/>
                      <w:highlight w:val="none"/>
                    </w:rPr>
                  </w:pPr>
                  <w:r>
                    <w:rPr>
                      <w:rFonts w:hint="default"/>
                      <w:b w:val="0"/>
                      <w:bCs/>
                      <w:color w:val="auto"/>
                      <w:sz w:val="21"/>
                      <w:szCs w:val="21"/>
                      <w:highlight w:val="none"/>
                    </w:rPr>
                    <w:t>符合</w:t>
                  </w:r>
                </w:p>
              </w:tc>
            </w:tr>
          </w:tbl>
          <w:p>
            <w:pPr>
              <w:pStyle w:val="81"/>
              <w:keepLines w:val="0"/>
              <w:pageBreakBefore w:val="0"/>
              <w:widowControl w:val="0"/>
              <w:kinsoku/>
              <w:wordWrap/>
              <w:overflowPunct/>
              <w:topLinePunct w:val="0"/>
              <w:bidi w:val="0"/>
              <w:adjustRightInd/>
              <w:snapToGrid/>
              <w:spacing w:line="360" w:lineRule="auto"/>
              <w:ind w:firstLine="480"/>
              <w:jc w:val="both"/>
              <w:outlineLvl w:val="9"/>
              <w:rPr>
                <w:rFonts w:hint="default"/>
                <w:b/>
                <w:bCs/>
                <w:color w:val="auto"/>
              </w:rPr>
            </w:pPr>
            <w:bookmarkStart w:id="15" w:name="_Toc109129774"/>
            <w:r>
              <w:rPr>
                <w:rFonts w:hint="eastAsia" w:cs="Times New Roman"/>
                <w:b/>
                <w:bCs/>
                <w:color w:val="auto"/>
                <w:lang w:val="en-US" w:eastAsia="zh-CN"/>
              </w:rPr>
              <w:t>7</w:t>
            </w:r>
            <w:r>
              <w:rPr>
                <w:b/>
                <w:bCs/>
                <w:color w:val="auto"/>
              </w:rPr>
              <w:t>、</w:t>
            </w:r>
            <w:bookmarkEnd w:id="15"/>
            <w:r>
              <w:rPr>
                <w:b/>
                <w:bCs/>
                <w:color w:val="auto"/>
              </w:rPr>
              <w:t>与《环境空气细颗粒物污染综合防治技术政策》（中华人民共和国环境保护部公告</w:t>
            </w:r>
            <w:r>
              <w:rPr>
                <w:rFonts w:hint="default" w:ascii="Times New Roman" w:hAnsi="Times New Roman" w:cs="Times New Roman"/>
                <w:b/>
                <w:bCs/>
                <w:color w:val="auto"/>
              </w:rPr>
              <w:t>2013</w:t>
            </w:r>
            <w:r>
              <w:rPr>
                <w:b/>
                <w:bCs/>
                <w:color w:val="auto"/>
              </w:rPr>
              <w:t>年第</w:t>
            </w:r>
            <w:r>
              <w:rPr>
                <w:rFonts w:hint="default" w:ascii="Times New Roman" w:hAnsi="Times New Roman" w:cs="Times New Roman"/>
                <w:b/>
                <w:bCs/>
                <w:color w:val="auto"/>
              </w:rPr>
              <w:t>59</w:t>
            </w:r>
            <w:r>
              <w:rPr>
                <w:b/>
                <w:bCs/>
                <w:color w:val="auto"/>
              </w:rPr>
              <w:t>号）相符性分析</w:t>
            </w:r>
          </w:p>
          <w:p>
            <w:pPr>
              <w:pStyle w:val="81"/>
              <w:keepLines w:val="0"/>
              <w:pageBreakBefore w:val="0"/>
              <w:widowControl w:val="0"/>
              <w:kinsoku/>
              <w:wordWrap/>
              <w:overflowPunct/>
              <w:topLinePunct w:val="0"/>
              <w:bidi w:val="0"/>
              <w:adjustRightInd/>
              <w:snapToGrid/>
              <w:spacing w:line="360" w:lineRule="auto"/>
              <w:ind w:firstLine="480"/>
              <w:jc w:val="both"/>
              <w:outlineLvl w:val="9"/>
              <w:rPr>
                <w:color w:val="auto"/>
              </w:rPr>
            </w:pPr>
            <w:r>
              <w:rPr>
                <w:color w:val="auto"/>
              </w:rPr>
              <w:t>根据《环境空气细颗粒物污染综合防治技术政策》（中华人民共和国环境保护部公告</w:t>
            </w:r>
            <w:r>
              <w:rPr>
                <w:rFonts w:hint="default" w:ascii="Times New Roman" w:hAnsi="Times New Roman" w:cs="Times New Roman"/>
                <w:color w:val="auto"/>
              </w:rPr>
              <w:t>2013</w:t>
            </w:r>
            <w:r>
              <w:rPr>
                <w:color w:val="auto"/>
              </w:rPr>
              <w:t>年第</w:t>
            </w:r>
            <w:r>
              <w:rPr>
                <w:rFonts w:hint="default" w:ascii="Times New Roman" w:hAnsi="Times New Roman" w:cs="Times New Roman"/>
                <w:color w:val="auto"/>
              </w:rPr>
              <w:t>59</w:t>
            </w:r>
            <w:r>
              <w:rPr>
                <w:color w:val="auto"/>
              </w:rPr>
              <w:t>号）中“三、防治工业污染”，“（十三）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十五）产生大气颗粒物及其前体物污染物的生产活动应尽量采用密闭装置，避免无组织排放；无法完全密闭的，应安装集气装置收集逸散的污染物，经净化后排放。”</w:t>
            </w:r>
          </w:p>
          <w:p>
            <w:pPr>
              <w:pStyle w:val="81"/>
              <w:keepLines w:val="0"/>
              <w:pageBreakBefore w:val="0"/>
              <w:widowControl w:val="0"/>
              <w:kinsoku/>
              <w:wordWrap/>
              <w:overflowPunct/>
              <w:topLinePunct w:val="0"/>
              <w:bidi w:val="0"/>
              <w:adjustRightInd/>
              <w:snapToGrid/>
              <w:spacing w:line="360" w:lineRule="auto"/>
              <w:ind w:firstLine="480"/>
              <w:jc w:val="both"/>
              <w:outlineLvl w:val="9"/>
              <w:rPr>
                <w:rFonts w:hint="default"/>
                <w:color w:val="auto"/>
                <w:lang w:val="en-US" w:eastAsia="zh-CN"/>
              </w:rPr>
            </w:pPr>
            <w:r>
              <w:rPr>
                <w:rFonts w:hint="eastAsia" w:cs="Times New Roman"/>
                <w:b w:val="0"/>
                <w:bCs/>
                <w:color w:val="auto"/>
                <w:sz w:val="24"/>
                <w:szCs w:val="24"/>
                <w:lang w:val="en-US" w:eastAsia="zh-CN"/>
              </w:rPr>
              <w:t>砂石</w:t>
            </w:r>
            <w:r>
              <w:rPr>
                <w:rFonts w:hint="eastAsia" w:ascii="Times New Roman" w:hAnsi="Times New Roman" w:eastAsia="宋体" w:cs="Times New Roman"/>
                <w:b w:val="0"/>
                <w:bCs/>
                <w:color w:val="auto"/>
                <w:spacing w:val="0"/>
                <w:sz w:val="24"/>
                <w:szCs w:val="24"/>
                <w:highlight w:val="none"/>
              </w:rPr>
              <w:t>原料</w:t>
            </w:r>
            <w:r>
              <w:rPr>
                <w:rFonts w:hint="default" w:ascii="Times New Roman" w:hAnsi="Times New Roman" w:eastAsia="宋体" w:cs="Times New Roman"/>
                <w:b w:val="0"/>
                <w:bCs/>
                <w:color w:val="auto"/>
                <w:spacing w:val="0"/>
                <w:sz w:val="24"/>
                <w:szCs w:val="24"/>
                <w:highlight w:val="none"/>
              </w:rPr>
              <w:t>采用卡车运输，卡车用苫布苫盖</w:t>
            </w:r>
            <w:r>
              <w:rPr>
                <w:rFonts w:hint="eastAsia" w:ascii="Times New Roman" w:hAnsi="Times New Roman" w:eastAsia="宋体" w:cs="Times New Roman"/>
                <w:b w:val="0"/>
                <w:bCs/>
                <w:color w:val="auto"/>
                <w:spacing w:val="0"/>
                <w:sz w:val="24"/>
                <w:szCs w:val="24"/>
                <w:highlight w:val="none"/>
              </w:rPr>
              <w:t>，</w:t>
            </w:r>
            <w:r>
              <w:rPr>
                <w:rFonts w:hint="eastAsia" w:cs="Times New Roman"/>
                <w:b w:val="0"/>
                <w:bCs/>
                <w:color w:val="auto"/>
                <w:spacing w:val="0"/>
                <w:sz w:val="24"/>
                <w:szCs w:val="24"/>
                <w:highlight w:val="yellow"/>
                <w:lang w:eastAsia="zh-CN"/>
              </w:rPr>
              <w:t>水泥采用专用水泥运输罐车运输</w:t>
            </w:r>
            <w:r>
              <w:rPr>
                <w:rFonts w:hint="eastAsia" w:ascii="Times New Roman" w:hAnsi="Times New Roman" w:eastAsia="宋体" w:cs="Times New Roman"/>
                <w:b w:val="0"/>
                <w:bCs/>
                <w:color w:val="auto"/>
                <w:spacing w:val="0"/>
                <w:sz w:val="24"/>
                <w:szCs w:val="24"/>
                <w:highlight w:val="yellow"/>
                <w:lang w:val="en-US" w:eastAsia="zh-CN"/>
              </w:rPr>
              <w:t>，</w:t>
            </w:r>
            <w:r>
              <w:rPr>
                <w:rFonts w:hint="eastAsia" w:ascii="Times New Roman" w:hAnsi="Times New Roman" w:eastAsia="宋体" w:cs="Times New Roman"/>
                <w:b w:val="0"/>
                <w:bCs/>
                <w:color w:val="auto"/>
                <w:spacing w:val="0"/>
                <w:sz w:val="24"/>
                <w:szCs w:val="24"/>
                <w:highlight w:val="none"/>
                <w:lang w:val="en-US" w:eastAsia="zh-CN"/>
              </w:rPr>
              <w:t>且对厂区进行洒水抑尘</w:t>
            </w:r>
            <w:r>
              <w:rPr>
                <w:rFonts w:hint="eastAsia" w:ascii="Times New Roman" w:hAnsi="Times New Roman" w:eastAsia="宋体" w:cs="Times New Roman"/>
                <w:b w:val="0"/>
                <w:bCs/>
                <w:color w:val="auto"/>
                <w:spacing w:val="0"/>
                <w:sz w:val="24"/>
                <w:szCs w:val="24"/>
                <w:highlight w:val="none"/>
              </w:rPr>
              <w:t>；本项目</w:t>
            </w:r>
            <w:r>
              <w:rPr>
                <w:rFonts w:hint="eastAsia" w:ascii="Times New Roman" w:hAnsi="Times New Roman" w:eastAsia="宋体" w:cs="Times New Roman"/>
                <w:b w:val="0"/>
                <w:bCs/>
                <w:color w:val="auto"/>
                <w:spacing w:val="0"/>
                <w:sz w:val="24"/>
                <w:szCs w:val="24"/>
                <w:highlight w:val="none"/>
                <w:lang w:val="en-US" w:eastAsia="zh-CN"/>
              </w:rPr>
              <w:t>砂石料</w:t>
            </w:r>
            <w:r>
              <w:rPr>
                <w:rFonts w:hint="default" w:ascii="Times New Roman" w:hAnsi="Times New Roman" w:eastAsia="宋体" w:cs="Times New Roman"/>
                <w:b w:val="0"/>
                <w:bCs/>
                <w:color w:val="auto"/>
                <w:spacing w:val="0"/>
                <w:sz w:val="24"/>
                <w:szCs w:val="24"/>
                <w:highlight w:val="none"/>
                <w:lang w:val="en-US" w:eastAsia="zh-CN"/>
              </w:rPr>
              <w:t>堆</w:t>
            </w:r>
            <w:r>
              <w:rPr>
                <w:rFonts w:hint="eastAsia" w:ascii="Times New Roman" w:hAnsi="Times New Roman" w:eastAsia="宋体" w:cs="Times New Roman"/>
                <w:b w:val="0"/>
                <w:bCs/>
                <w:color w:val="auto"/>
                <w:spacing w:val="0"/>
                <w:sz w:val="24"/>
                <w:szCs w:val="24"/>
                <w:highlight w:val="none"/>
                <w:lang w:val="en-US" w:eastAsia="zh-CN"/>
              </w:rPr>
              <w:t>场</w:t>
            </w:r>
            <w:r>
              <w:rPr>
                <w:rFonts w:hint="eastAsia" w:ascii="Times New Roman" w:hAnsi="Times New Roman" w:eastAsia="宋体" w:cs="Times New Roman"/>
                <w:b w:val="0"/>
                <w:bCs/>
                <w:color w:val="auto"/>
                <w:spacing w:val="0"/>
                <w:sz w:val="24"/>
                <w:szCs w:val="24"/>
                <w:highlight w:val="none"/>
                <w:lang w:eastAsia="zh-CN"/>
              </w:rPr>
              <w:t>四周设置</w:t>
            </w:r>
            <w:r>
              <w:rPr>
                <w:rFonts w:hint="default" w:ascii="Times New Roman" w:hAnsi="Times New Roman" w:eastAsia="宋体" w:cs="Times New Roman"/>
                <w:b w:val="0"/>
                <w:bCs/>
                <w:color w:val="auto"/>
                <w:spacing w:val="0"/>
                <w:sz w:val="24"/>
                <w:szCs w:val="24"/>
                <w:highlight w:val="none"/>
                <w:lang w:val="en-US" w:eastAsia="zh-CN"/>
              </w:rPr>
              <w:t>防风抑尘网</w:t>
            </w:r>
            <w:r>
              <w:rPr>
                <w:rFonts w:hint="eastAsia" w:ascii="Times New Roman" w:hAnsi="Times New Roman" w:eastAsia="宋体" w:cs="Times New Roman"/>
                <w:b w:val="0"/>
                <w:bCs/>
                <w:color w:val="auto"/>
                <w:spacing w:val="0"/>
                <w:sz w:val="24"/>
                <w:szCs w:val="24"/>
                <w:highlight w:val="none"/>
                <w:lang w:val="en-US" w:eastAsia="zh-CN"/>
              </w:rPr>
              <w:t>，并洒水抑尘；水泥和粉煤灰采用筒仓存储，水泥、粉煤灰筒仓</w:t>
            </w:r>
            <w:r>
              <w:rPr>
                <w:rFonts w:hint="eastAsia" w:ascii="Times New Roman" w:hAnsi="Times New Roman" w:eastAsia="宋体" w:cs="Times New Roman"/>
                <w:b w:val="0"/>
                <w:bCs/>
                <w:color w:val="auto"/>
                <w:spacing w:val="0"/>
                <w:sz w:val="24"/>
                <w:szCs w:val="24"/>
                <w:highlight w:val="none"/>
              </w:rPr>
              <w:t>均配备仓顶式布袋除尘器，废气经处理后由无组织形式排放；</w:t>
            </w:r>
            <w:r>
              <w:rPr>
                <w:rFonts w:hint="eastAsia" w:ascii="Times New Roman" w:hAnsi="Times New Roman" w:eastAsia="宋体" w:cs="Times New Roman"/>
                <w:b w:val="0"/>
                <w:bCs/>
                <w:color w:val="auto"/>
                <w:spacing w:val="0"/>
                <w:sz w:val="24"/>
                <w:szCs w:val="24"/>
                <w:highlight w:val="none"/>
                <w:lang w:val="en-US" w:eastAsia="zh-CN"/>
              </w:rPr>
              <w:t>投料</w:t>
            </w:r>
            <w:r>
              <w:rPr>
                <w:rFonts w:hint="default" w:ascii="Times New Roman" w:hAnsi="Times New Roman" w:eastAsia="宋体" w:cs="Times New Roman"/>
                <w:b w:val="0"/>
                <w:bCs/>
                <w:color w:val="auto"/>
                <w:spacing w:val="0"/>
                <w:sz w:val="24"/>
                <w:szCs w:val="24"/>
                <w:highlight w:val="none"/>
                <w:lang w:val="en-US" w:eastAsia="zh-CN"/>
              </w:rPr>
              <w:t>斗设置</w:t>
            </w:r>
            <w:r>
              <w:rPr>
                <w:rFonts w:hint="eastAsia" w:ascii="Times New Roman" w:hAnsi="Times New Roman" w:eastAsia="宋体" w:cs="Times New Roman"/>
                <w:b w:val="0"/>
                <w:bCs/>
                <w:color w:val="auto"/>
                <w:spacing w:val="0"/>
                <w:sz w:val="24"/>
                <w:szCs w:val="24"/>
                <w:highlight w:val="none"/>
                <w:lang w:val="en-US" w:eastAsia="zh-CN"/>
              </w:rPr>
              <w:t>在</w:t>
            </w:r>
            <w:r>
              <w:rPr>
                <w:rFonts w:hint="eastAsia" w:ascii="Times New Roman" w:hAnsi="Times New Roman" w:eastAsia="宋体" w:cs="Times New Roman"/>
                <w:b w:val="0"/>
                <w:bCs/>
                <w:color w:val="auto"/>
                <w:kern w:val="2"/>
                <w:sz w:val="24"/>
                <w:szCs w:val="24"/>
                <w:highlight w:val="none"/>
                <w:lang w:val="en-US" w:eastAsia="zh-CN" w:bidi="ar-SA"/>
              </w:rPr>
              <w:t>半封闭式罩棚内</w:t>
            </w:r>
            <w:r>
              <w:rPr>
                <w:rFonts w:hint="default"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lang w:val="en-US" w:eastAsia="zh-CN"/>
              </w:rPr>
              <w:t>并在投料</w:t>
            </w:r>
            <w:r>
              <w:rPr>
                <w:rFonts w:hint="default" w:ascii="Times New Roman" w:hAnsi="Times New Roman" w:eastAsia="宋体" w:cs="Times New Roman"/>
                <w:b w:val="0"/>
                <w:bCs/>
                <w:color w:val="auto"/>
                <w:spacing w:val="0"/>
                <w:sz w:val="24"/>
                <w:szCs w:val="24"/>
                <w:highlight w:val="none"/>
                <w:lang w:val="en-US" w:eastAsia="zh-CN"/>
              </w:rPr>
              <w:t>斗</w:t>
            </w:r>
            <w:r>
              <w:rPr>
                <w:rFonts w:hint="eastAsia" w:ascii="Times New Roman" w:hAnsi="Times New Roman" w:eastAsia="宋体" w:cs="Times New Roman"/>
                <w:b w:val="0"/>
                <w:bCs/>
                <w:color w:val="auto"/>
                <w:spacing w:val="0"/>
                <w:sz w:val="24"/>
                <w:szCs w:val="24"/>
                <w:highlight w:val="none"/>
                <w:lang w:val="en-US" w:eastAsia="zh-CN"/>
              </w:rPr>
              <w:t>上方</w:t>
            </w:r>
            <w:r>
              <w:rPr>
                <w:rFonts w:hint="default" w:ascii="Times New Roman" w:hAnsi="Times New Roman" w:eastAsia="宋体" w:cs="Times New Roman"/>
                <w:b w:val="0"/>
                <w:bCs/>
                <w:color w:val="auto"/>
                <w:spacing w:val="0"/>
                <w:sz w:val="24"/>
                <w:szCs w:val="24"/>
                <w:highlight w:val="none"/>
                <w:lang w:val="en-US" w:eastAsia="zh-CN"/>
              </w:rPr>
              <w:t>设置</w:t>
            </w:r>
            <w:r>
              <w:rPr>
                <w:rFonts w:hint="eastAsia" w:ascii="Times New Roman" w:hAnsi="Times New Roman" w:eastAsia="宋体" w:cs="Times New Roman"/>
                <w:b w:val="0"/>
                <w:bCs/>
                <w:color w:val="auto"/>
                <w:spacing w:val="0"/>
                <w:sz w:val="24"/>
                <w:szCs w:val="24"/>
                <w:highlight w:val="none"/>
                <w:lang w:val="en-US" w:eastAsia="zh-CN"/>
              </w:rPr>
              <w:t>雾化喷淋装置；水泥、砂石、粉煤灰进入搅拌机均采用密闭式输送；</w:t>
            </w:r>
            <w:r>
              <w:rPr>
                <w:rFonts w:hint="eastAsia" w:ascii="Times New Roman" w:hAnsi="Times New Roman" w:eastAsia="宋体" w:cs="Times New Roman"/>
                <w:b w:val="0"/>
                <w:bCs/>
                <w:color w:val="auto"/>
                <w:spacing w:val="0"/>
                <w:sz w:val="24"/>
                <w:szCs w:val="24"/>
                <w:highlight w:val="none"/>
              </w:rPr>
              <w:t>厂区地面进行硬化，定时洒水抑尘</w:t>
            </w:r>
            <w:r>
              <w:rPr>
                <w:rFonts w:hint="default" w:ascii="Times New Roman" w:hAnsi="Times New Roman" w:eastAsia="宋体" w:cs="Times New Roman"/>
                <w:b w:val="0"/>
                <w:bCs/>
                <w:color w:val="auto"/>
                <w:spacing w:val="0"/>
                <w:sz w:val="24"/>
                <w:szCs w:val="24"/>
                <w:highlight w:val="none"/>
              </w:rPr>
              <w:t>。通过采取</w:t>
            </w:r>
            <w:r>
              <w:rPr>
                <w:rFonts w:hint="default" w:ascii="Times New Roman" w:hAnsi="Times New Roman" w:eastAsia="宋体" w:cs="Times New Roman"/>
                <w:b w:val="0"/>
                <w:bCs/>
                <w:color w:val="auto"/>
                <w:spacing w:val="0"/>
                <w:sz w:val="24"/>
                <w:szCs w:val="24"/>
                <w:highlight w:val="none"/>
                <w:lang w:val="en-US" w:eastAsia="zh-CN"/>
              </w:rPr>
              <w:t>以上降尘措施后，颗粒物厂界外无组织排放监控点浓度满足《水泥工业大气污染物排放标准》（GB4915-2013）表3中标准要求。</w:t>
            </w:r>
            <w:r>
              <w:rPr>
                <w:rFonts w:hint="eastAsia" w:ascii="Times New Roman" w:hAnsi="Times New Roman" w:eastAsia="宋体" w:cs="Times New Roman"/>
                <w:b w:val="0"/>
                <w:bCs/>
                <w:color w:val="auto"/>
                <w:spacing w:val="0"/>
                <w:sz w:val="24"/>
                <w:szCs w:val="24"/>
                <w:highlight w:val="none"/>
                <w:lang w:val="en-US" w:eastAsia="zh-CN"/>
              </w:rPr>
              <w:t>混凝土</w:t>
            </w:r>
            <w:r>
              <w:rPr>
                <w:rFonts w:hint="default" w:ascii="Times New Roman" w:hAnsi="Times New Roman" w:eastAsia="宋体" w:cs="Times New Roman"/>
                <w:b w:val="0"/>
                <w:bCs/>
                <w:color w:val="auto"/>
                <w:spacing w:val="0"/>
                <w:sz w:val="24"/>
                <w:szCs w:val="24"/>
                <w:highlight w:val="none"/>
                <w:lang w:val="en-US" w:eastAsia="zh-CN"/>
              </w:rPr>
              <w:t>搅拌机通气口设置1套布袋除尘器，</w:t>
            </w:r>
            <w:r>
              <w:rPr>
                <w:rFonts w:hint="eastAsia" w:cs="Times New Roman"/>
                <w:b w:val="0"/>
                <w:bCs/>
                <w:color w:val="auto"/>
                <w:spacing w:val="0"/>
                <w:sz w:val="24"/>
                <w:szCs w:val="24"/>
                <w:highlight w:val="none"/>
                <w:lang w:val="en-US" w:eastAsia="zh-CN"/>
              </w:rPr>
              <w:t>粉尘经除尘器处理后以无组织形式排放至车间内部</w:t>
            </w:r>
            <w:r>
              <w:rPr>
                <w:rFonts w:hint="default" w:ascii="Times New Roman" w:hAnsi="Times New Roman" w:eastAsia="宋体" w:cs="Times New Roman"/>
                <w:b w:val="0"/>
                <w:bCs/>
                <w:color w:val="auto"/>
                <w:spacing w:val="0"/>
                <w:sz w:val="24"/>
                <w:szCs w:val="24"/>
                <w:highlight w:val="none"/>
                <w:lang w:val="en-US" w:eastAsia="zh-CN"/>
              </w:rPr>
              <w:t>，颗粒物满足《水泥工业大气污染物排放标准》（GB4915-2013）中</w:t>
            </w:r>
            <w:r>
              <w:rPr>
                <w:rFonts w:hint="eastAsia" w:cs="Times New Roman"/>
                <w:b w:val="0"/>
                <w:bCs/>
                <w:color w:val="auto"/>
                <w:spacing w:val="0"/>
                <w:sz w:val="24"/>
                <w:szCs w:val="24"/>
                <w:highlight w:val="none"/>
                <w:lang w:val="en-US" w:eastAsia="zh-CN"/>
              </w:rPr>
              <w:t>表</w:t>
            </w:r>
            <w:r>
              <w:rPr>
                <w:rFonts w:hint="default" w:ascii="Times New Roman" w:hAnsi="Times New Roman" w:cs="Times New Roman"/>
                <w:b w:val="0"/>
                <w:bCs/>
                <w:color w:val="auto"/>
                <w:spacing w:val="0"/>
                <w:sz w:val="24"/>
                <w:szCs w:val="24"/>
                <w:highlight w:val="none"/>
                <w:lang w:val="en-US" w:eastAsia="zh-CN"/>
              </w:rPr>
              <w:t>3</w:t>
            </w:r>
            <w:r>
              <w:rPr>
                <w:rFonts w:hint="eastAsia" w:cs="Times New Roman"/>
                <w:b w:val="0"/>
                <w:bCs/>
                <w:color w:val="auto"/>
                <w:spacing w:val="0"/>
                <w:sz w:val="24"/>
                <w:szCs w:val="24"/>
                <w:highlight w:val="none"/>
                <w:lang w:val="en-US" w:eastAsia="zh-CN"/>
              </w:rPr>
              <w:t>标准限值</w:t>
            </w:r>
            <w:r>
              <w:rPr>
                <w:rFonts w:hint="default" w:ascii="Times New Roman" w:hAnsi="Times New Roman" w:eastAsia="宋体" w:cs="Times New Roman"/>
                <w:b w:val="0"/>
                <w:bCs/>
                <w:color w:val="auto"/>
                <w:spacing w:val="0"/>
                <w:sz w:val="24"/>
                <w:szCs w:val="24"/>
                <w:highlight w:val="none"/>
                <w:lang w:val="en-US" w:eastAsia="zh-CN"/>
              </w:rPr>
              <w:t>。</w:t>
            </w:r>
            <w:r>
              <w:rPr>
                <w:color w:val="auto"/>
                <w:highlight w:val="none"/>
              </w:rPr>
              <w:t>项目采取措施符合《环境空气细颗粒物污染综合防治技术政策》（中</w:t>
            </w:r>
            <w:r>
              <w:rPr>
                <w:color w:val="auto"/>
              </w:rPr>
              <w:t>华人民共和国环境保护部公告</w:t>
            </w:r>
            <w:r>
              <w:rPr>
                <w:rFonts w:hint="default" w:ascii="Times New Roman" w:hAnsi="Times New Roman" w:cs="Times New Roman"/>
                <w:color w:val="auto"/>
              </w:rPr>
              <w:t>2013</w:t>
            </w:r>
            <w:r>
              <w:rPr>
                <w:color w:val="auto"/>
              </w:rPr>
              <w:t>年第</w:t>
            </w:r>
            <w:r>
              <w:rPr>
                <w:rFonts w:hint="default" w:ascii="Times New Roman" w:hAnsi="Times New Roman" w:cs="Times New Roman"/>
                <w:color w:val="auto"/>
              </w:rPr>
              <w:t>59</w:t>
            </w:r>
            <w:r>
              <w:rPr>
                <w:color w:val="auto"/>
              </w:rPr>
              <w:t>号）要求。</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highlight w:val="none"/>
              </w:rPr>
            </w:pPr>
            <w:bookmarkStart w:id="16" w:name="_Hlk169598590"/>
            <w:r>
              <w:rPr>
                <w:rFonts w:hint="eastAsia" w:cs="Times New Roman"/>
                <w:b/>
                <w:bCs/>
                <w:color w:val="auto"/>
                <w:sz w:val="24"/>
                <w:highlight w:val="none"/>
                <w:lang w:val="en-US" w:eastAsia="zh-CN"/>
              </w:rPr>
              <w:t>8</w:t>
            </w:r>
            <w:r>
              <w:rPr>
                <w:rFonts w:hint="eastAsia"/>
                <w:b/>
                <w:bCs/>
                <w:color w:val="auto"/>
                <w:sz w:val="24"/>
                <w:highlight w:val="none"/>
                <w:lang w:val="en-US" w:eastAsia="zh-CN"/>
              </w:rPr>
              <w:t>、与《伊春市国土空间总体规划（</w:t>
            </w:r>
            <w:r>
              <w:rPr>
                <w:rFonts w:hint="default" w:ascii="Times New Roman" w:hAnsi="Times New Roman" w:cs="Times New Roman"/>
                <w:b/>
                <w:bCs/>
                <w:color w:val="auto"/>
                <w:sz w:val="24"/>
                <w:highlight w:val="none"/>
                <w:lang w:val="en-US" w:eastAsia="zh-CN"/>
              </w:rPr>
              <w:t>2021</w:t>
            </w:r>
            <w:r>
              <w:rPr>
                <w:rFonts w:hint="eastAsia"/>
                <w:b/>
                <w:bCs/>
                <w:color w:val="auto"/>
                <w:sz w:val="24"/>
                <w:highlight w:val="none"/>
                <w:lang w:val="en-US" w:eastAsia="zh-CN"/>
              </w:rPr>
              <w:t>-</w:t>
            </w:r>
            <w:r>
              <w:rPr>
                <w:rFonts w:hint="default" w:ascii="Times New Roman" w:hAnsi="Times New Roman" w:cs="Times New Roman"/>
                <w:b/>
                <w:bCs/>
                <w:color w:val="auto"/>
                <w:sz w:val="24"/>
                <w:highlight w:val="none"/>
                <w:lang w:val="en-US" w:eastAsia="zh-CN"/>
              </w:rPr>
              <w:t>2035</w:t>
            </w:r>
            <w:r>
              <w:rPr>
                <w:rFonts w:hint="eastAsia"/>
                <w:b/>
                <w:bCs/>
                <w:color w:val="auto"/>
                <w:sz w:val="24"/>
                <w:highlight w:val="none"/>
                <w:lang w:val="en-US" w:eastAsia="zh-CN"/>
              </w:rPr>
              <w:t>年）》</w:t>
            </w:r>
            <w:r>
              <w:rPr>
                <w:rFonts w:hint="eastAsia" w:ascii="Times New Roman" w:hAnsi="Times New Roman" w:eastAsia="宋体" w:cs="Times New Roman"/>
                <w:b/>
                <w:bCs/>
                <w:color w:val="auto"/>
                <w:sz w:val="24"/>
                <w:highlight w:val="none"/>
              </w:rPr>
              <w:t>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本项目与《</w:t>
            </w:r>
            <w:r>
              <w:rPr>
                <w:rFonts w:hint="eastAsia" w:cs="Times New Roman"/>
                <w:b w:val="0"/>
                <w:bCs/>
                <w:color w:val="auto"/>
                <w:kern w:val="2"/>
                <w:sz w:val="24"/>
                <w:szCs w:val="24"/>
                <w:highlight w:val="none"/>
                <w:lang w:val="en-US" w:eastAsia="zh-CN" w:bidi="ar-SA"/>
              </w:rPr>
              <w:t>伊春市</w:t>
            </w:r>
            <w:r>
              <w:rPr>
                <w:rFonts w:hint="eastAsia" w:ascii="Times New Roman" w:hAnsi="Times New Roman" w:eastAsia="宋体" w:cs="Times New Roman"/>
                <w:b w:val="0"/>
                <w:bCs/>
                <w:color w:val="auto"/>
                <w:kern w:val="2"/>
                <w:sz w:val="24"/>
                <w:szCs w:val="24"/>
                <w:highlight w:val="none"/>
                <w:lang w:val="en-US" w:eastAsia="zh-CN" w:bidi="ar-SA"/>
              </w:rPr>
              <w:t>国土空间总体规划（</w:t>
            </w:r>
            <w:r>
              <w:rPr>
                <w:rFonts w:hint="default" w:ascii="Times New Roman" w:hAnsi="Times New Roman" w:eastAsia="宋体" w:cs="Times New Roman"/>
                <w:b w:val="0"/>
                <w:bCs/>
                <w:color w:val="auto"/>
                <w:kern w:val="2"/>
                <w:sz w:val="24"/>
                <w:szCs w:val="24"/>
                <w:highlight w:val="none"/>
                <w:lang w:val="en-US" w:eastAsia="zh-CN" w:bidi="ar-SA"/>
              </w:rPr>
              <w:t>2021</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2035</w:t>
            </w:r>
            <w:r>
              <w:rPr>
                <w:rFonts w:hint="eastAsia" w:ascii="Times New Roman" w:hAnsi="Times New Roman" w:eastAsia="宋体" w:cs="Times New Roman"/>
                <w:b w:val="0"/>
                <w:bCs/>
                <w:color w:val="auto"/>
                <w:kern w:val="2"/>
                <w:sz w:val="24"/>
                <w:szCs w:val="24"/>
                <w:highlight w:val="none"/>
                <w:lang w:val="en-US" w:eastAsia="zh-CN" w:bidi="ar-SA"/>
              </w:rPr>
              <w:t>年）》的符合性分析，详见表</w:t>
            </w:r>
            <w:r>
              <w:rPr>
                <w:rFonts w:hint="default" w:ascii="Times New Roman" w:hAnsi="Times New Roman" w:eastAsia="宋体" w:cs="Times New Roman"/>
                <w:b w:val="0"/>
                <w:bCs/>
                <w:color w:val="auto"/>
                <w:kern w:val="2"/>
                <w:sz w:val="24"/>
                <w:szCs w:val="24"/>
                <w:highlight w:val="none"/>
                <w:lang w:val="en-US" w:eastAsia="zh-CN" w:bidi="ar-SA"/>
              </w:rPr>
              <w:t>1</w:t>
            </w:r>
            <w:r>
              <w:rPr>
                <w:rFonts w:hint="eastAsia" w:ascii="Times New Roman" w:hAnsi="Times New Roman" w:eastAsia="宋体" w:cs="Times New Roman"/>
                <w:b w:val="0"/>
                <w:bCs/>
                <w:color w:val="auto"/>
                <w:kern w:val="2"/>
                <w:sz w:val="24"/>
                <w:szCs w:val="24"/>
                <w:highlight w:val="none"/>
                <w:lang w:val="en-US" w:eastAsia="zh-CN" w:bidi="ar-SA"/>
              </w:rPr>
              <w:t>-</w:t>
            </w:r>
            <w:r>
              <w:rPr>
                <w:rFonts w:hint="eastAsia" w:cs="Times New Roman"/>
                <w:b w:val="0"/>
                <w:bCs/>
                <w:color w:val="auto"/>
                <w:kern w:val="2"/>
                <w:sz w:val="24"/>
                <w:szCs w:val="24"/>
                <w:highlight w:val="none"/>
                <w:lang w:val="en-US" w:eastAsia="zh-CN" w:bidi="ar-SA"/>
              </w:rPr>
              <w:t>5</w:t>
            </w:r>
            <w:r>
              <w:rPr>
                <w:rFonts w:hint="eastAsia" w:ascii="Times New Roman" w:hAnsi="Times New Roman" w:eastAsia="宋体" w:cs="Times New Roman"/>
                <w:b w:val="0"/>
                <w:bCs/>
                <w:color w:val="auto"/>
                <w:kern w:val="2"/>
                <w:sz w:val="24"/>
                <w:szCs w:val="24"/>
                <w:highlight w:val="none"/>
                <w:lang w:val="en-US" w:eastAsia="zh-CN" w:bidi="ar-SA"/>
              </w:rPr>
              <w:t>。</w:t>
            </w:r>
          </w:p>
          <w:bookmarkEnd w:id="16"/>
          <w:p>
            <w:pPr>
              <w:pStyle w:val="182"/>
              <w:keepNext w:val="0"/>
              <w:keepLines w:val="0"/>
              <w:pageBreakBefore w:val="0"/>
              <w:widowControl/>
              <w:kinsoku/>
              <w:wordWrap w:val="0"/>
              <w:overflowPunct/>
              <w:topLinePunct w:val="0"/>
              <w:autoSpaceDE w:val="0"/>
              <w:autoSpaceDN w:val="0"/>
              <w:bidi w:val="0"/>
              <w:adjustRightInd/>
              <w:snapToGrid/>
              <w:spacing w:line="240" w:lineRule="auto"/>
              <w:textAlignment w:val="auto"/>
              <w:rPr>
                <w:rFonts w:hint="default" w:ascii="Times New Roman" w:hAnsi="Times New Roman" w:eastAsia="宋体" w:cs="Times New Roman"/>
                <w:b/>
                <w:bCs/>
                <w:color w:val="auto"/>
                <w:spacing w:val="0"/>
                <w:sz w:val="24"/>
                <w:highlight w:val="none"/>
                <w:lang w:val="en-US" w:eastAsia="zh-CN"/>
              </w:rPr>
            </w:pPr>
            <w:r>
              <w:rPr>
                <w:rFonts w:hint="default" w:ascii="Times New Roman" w:hAnsi="Times New Roman" w:eastAsia="宋体" w:cs="Times New Roman"/>
                <w:b/>
                <w:bCs/>
                <w:color w:val="auto"/>
                <w:spacing w:val="0"/>
                <w:sz w:val="24"/>
                <w:highlight w:val="none"/>
                <w:lang w:val="en-US" w:eastAsia="zh-CN"/>
              </w:rPr>
              <w:t>表1-</w:t>
            </w:r>
            <w:r>
              <w:rPr>
                <w:rFonts w:hint="eastAsia" w:eastAsia="宋体" w:cs="Times New Roman"/>
                <w:b/>
                <w:bCs/>
                <w:color w:val="auto"/>
                <w:spacing w:val="0"/>
                <w:sz w:val="24"/>
                <w:highlight w:val="none"/>
                <w:lang w:val="en-US" w:eastAsia="zh-CN"/>
              </w:rPr>
              <w:t>5</w:t>
            </w:r>
            <w:r>
              <w:rPr>
                <w:rFonts w:hint="eastAsia" w:ascii="Times New Roman" w:hAnsi="Times New Roman" w:eastAsia="宋体" w:cs="Times New Roman"/>
                <w:b/>
                <w:bCs/>
                <w:color w:val="auto"/>
                <w:spacing w:val="0"/>
                <w:sz w:val="24"/>
                <w:highlight w:val="none"/>
                <w:lang w:val="en-US" w:eastAsia="zh-CN"/>
              </w:rPr>
              <w:t xml:space="preserve"> </w:t>
            </w:r>
            <w:r>
              <w:rPr>
                <w:rFonts w:hint="default" w:ascii="Times New Roman" w:hAnsi="Times New Roman" w:eastAsia="宋体" w:cs="Times New Roman"/>
                <w:b/>
                <w:bCs/>
                <w:color w:val="auto"/>
                <w:spacing w:val="0"/>
                <w:sz w:val="24"/>
                <w:highlight w:val="none"/>
                <w:lang w:val="en-US" w:eastAsia="zh-CN"/>
              </w:rPr>
              <w:t>与</w:t>
            </w:r>
            <w:r>
              <w:rPr>
                <w:rFonts w:hint="eastAsia" w:ascii="Times New Roman" w:hAnsi="Times New Roman" w:eastAsia="宋体" w:cs="Times New Roman"/>
                <w:b/>
                <w:bCs/>
                <w:color w:val="auto"/>
                <w:spacing w:val="0"/>
                <w:sz w:val="24"/>
                <w:highlight w:val="none"/>
                <w:lang w:val="en-US" w:eastAsia="zh-CN"/>
              </w:rPr>
              <w:t>《</w:t>
            </w:r>
            <w:r>
              <w:rPr>
                <w:rFonts w:hint="eastAsia" w:eastAsia="宋体" w:cs="Times New Roman"/>
                <w:b/>
                <w:bCs/>
                <w:color w:val="auto"/>
                <w:spacing w:val="0"/>
                <w:sz w:val="24"/>
                <w:highlight w:val="none"/>
                <w:lang w:val="en-US" w:eastAsia="zh-CN"/>
              </w:rPr>
              <w:t>伊春市</w:t>
            </w:r>
            <w:r>
              <w:rPr>
                <w:rFonts w:hint="eastAsia" w:ascii="Times New Roman" w:hAnsi="Times New Roman" w:eastAsia="宋体" w:cs="Times New Roman"/>
                <w:b/>
                <w:bCs/>
                <w:color w:val="auto"/>
                <w:spacing w:val="0"/>
                <w:sz w:val="24"/>
                <w:highlight w:val="none"/>
                <w:lang w:val="en-US" w:eastAsia="zh-CN"/>
              </w:rPr>
              <w:t>国土空间总体规划（</w:t>
            </w:r>
            <w:r>
              <w:rPr>
                <w:rFonts w:hint="default" w:ascii="Times New Roman" w:hAnsi="Times New Roman" w:eastAsia="宋体" w:cs="Times New Roman"/>
                <w:b/>
                <w:bCs/>
                <w:color w:val="auto"/>
                <w:spacing w:val="0"/>
                <w:sz w:val="24"/>
                <w:highlight w:val="none"/>
                <w:lang w:val="en-US" w:eastAsia="zh-CN"/>
              </w:rPr>
              <w:t>2021</w:t>
            </w:r>
            <w:r>
              <w:rPr>
                <w:rFonts w:hint="eastAsia" w:ascii="Times New Roman" w:hAnsi="Times New Roman" w:eastAsia="宋体" w:cs="Times New Roman"/>
                <w:b/>
                <w:bCs/>
                <w:color w:val="auto"/>
                <w:spacing w:val="0"/>
                <w:sz w:val="24"/>
                <w:highlight w:val="none"/>
                <w:lang w:val="en-US" w:eastAsia="zh-CN"/>
              </w:rPr>
              <w:t>-</w:t>
            </w:r>
            <w:r>
              <w:rPr>
                <w:rFonts w:hint="default" w:ascii="Times New Roman" w:hAnsi="Times New Roman" w:eastAsia="宋体" w:cs="Times New Roman"/>
                <w:b/>
                <w:bCs/>
                <w:color w:val="auto"/>
                <w:spacing w:val="0"/>
                <w:sz w:val="24"/>
                <w:highlight w:val="none"/>
                <w:lang w:val="en-US" w:eastAsia="zh-CN"/>
              </w:rPr>
              <w:t>2035</w:t>
            </w:r>
            <w:r>
              <w:rPr>
                <w:rFonts w:hint="eastAsia" w:ascii="Times New Roman" w:hAnsi="Times New Roman" w:eastAsia="宋体" w:cs="Times New Roman"/>
                <w:b/>
                <w:bCs/>
                <w:color w:val="auto"/>
                <w:spacing w:val="0"/>
                <w:sz w:val="24"/>
                <w:highlight w:val="none"/>
                <w:lang w:val="en-US" w:eastAsia="zh-CN"/>
              </w:rPr>
              <w:t>年）》</w:t>
            </w:r>
            <w:r>
              <w:rPr>
                <w:rFonts w:hint="default" w:ascii="Times New Roman" w:hAnsi="Times New Roman" w:eastAsia="宋体" w:cs="Times New Roman"/>
                <w:b/>
                <w:bCs/>
                <w:color w:val="auto"/>
                <w:spacing w:val="0"/>
                <w:sz w:val="24"/>
                <w:highlight w:val="none"/>
                <w:lang w:val="en-US" w:eastAsia="zh-CN"/>
              </w:rPr>
              <w:t>符合性分析</w:t>
            </w:r>
          </w:p>
          <w:tbl>
            <w:tblPr>
              <w:tblStyle w:val="32"/>
              <w:tblW w:w="711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79"/>
              <w:gridCol w:w="2521"/>
              <w:gridCol w:w="8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3779" w:type="dxa"/>
                  <w:tcBorders>
                    <w:tl2br w:val="nil"/>
                    <w:tr2bl w:val="nil"/>
                  </w:tcBorders>
                  <w:noWrap w:val="0"/>
                  <w:vAlign w:val="center"/>
                </w:tcPr>
                <w:p>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相关要求</w:t>
                  </w:r>
                </w:p>
              </w:tc>
              <w:tc>
                <w:tcPr>
                  <w:tcW w:w="2521" w:type="dxa"/>
                  <w:tcBorders>
                    <w:tl2br w:val="nil"/>
                    <w:tr2bl w:val="nil"/>
                  </w:tcBorders>
                  <w:noWrap w:val="0"/>
                  <w:vAlign w:val="center"/>
                </w:tcPr>
                <w:p>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黑体" w:hAnsi="黑体" w:eastAsia="黑体" w:cs="黑体"/>
                      <w:b w:val="0"/>
                      <w:bCs/>
                      <w:color w:val="auto"/>
                      <w:sz w:val="21"/>
                      <w:szCs w:val="21"/>
                      <w:highlight w:val="none"/>
                      <w:lang w:val="en-US" w:eastAsia="zh-CN"/>
                    </w:rPr>
                  </w:pPr>
                  <w:r>
                    <w:rPr>
                      <w:rFonts w:hint="default" w:ascii="黑体" w:hAnsi="黑体" w:eastAsia="黑体" w:cs="黑体"/>
                      <w:b w:val="0"/>
                      <w:bCs/>
                      <w:color w:val="auto"/>
                      <w:sz w:val="21"/>
                      <w:szCs w:val="21"/>
                      <w:highlight w:val="none"/>
                      <w:lang w:val="en-US" w:eastAsia="zh-CN"/>
                    </w:rPr>
                    <w:t>本项目情况</w:t>
                  </w:r>
                </w:p>
              </w:tc>
              <w:tc>
                <w:tcPr>
                  <w:tcW w:w="810" w:type="dxa"/>
                  <w:tcBorders>
                    <w:tl2br w:val="nil"/>
                    <w:tr2bl w:val="nil"/>
                  </w:tcBorders>
                  <w:noWrap w:val="0"/>
                  <w:vAlign w:val="center"/>
                </w:tcPr>
                <w:p>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相符</w:t>
                  </w:r>
                </w:p>
                <w:p>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3779" w:type="dxa"/>
                  <w:tcBorders>
                    <w:tl2br w:val="nil"/>
                    <w:tr2bl w:val="nil"/>
                  </w:tcBorders>
                  <w:noWrap w:val="0"/>
                  <w:vAlign w:val="center"/>
                </w:tcPr>
                <w:p>
                  <w:pPr>
                    <w:pStyle w:val="10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baseline"/>
                    <w:rPr>
                      <w:rFonts w:hint="default" w:ascii="Times New Roman" w:hAnsi="Times New Roman" w:eastAsia="宋体" w:cs="Times New Roman"/>
                      <w:b w:val="0"/>
                      <w:bCs/>
                      <w:color w:val="auto"/>
                      <w:sz w:val="21"/>
                      <w:szCs w:val="21"/>
                      <w:highlight w:val="none"/>
                      <w:lang w:val="zh-CN" w:eastAsia="zh-CN" w:bidi="ar-SA"/>
                    </w:rPr>
                  </w:pPr>
                  <w:r>
                    <w:rPr>
                      <w:rFonts w:hint="default" w:ascii="Times New Roman" w:hAnsi="Times New Roman" w:eastAsia="宋体" w:cs="Times New Roman"/>
                      <w:b w:val="0"/>
                      <w:bCs/>
                      <w:color w:val="auto"/>
                      <w:sz w:val="21"/>
                      <w:szCs w:val="21"/>
                      <w:highlight w:val="none"/>
                      <w:lang w:val="zh-CN" w:eastAsia="zh-CN" w:bidi="ar-SA"/>
                    </w:rPr>
                    <w:t>第三章 以“三区三线”为基础，优化总体格局</w:t>
                  </w:r>
                </w:p>
                <w:p>
                  <w:pPr>
                    <w:pStyle w:val="10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baseline"/>
                    <w:rPr>
                      <w:rFonts w:hint="default" w:ascii="Times New Roman" w:hAnsi="Times New Roman" w:eastAsia="宋体" w:cs="Times New Roman"/>
                      <w:b w:val="0"/>
                      <w:bCs/>
                      <w:color w:val="auto"/>
                      <w:sz w:val="21"/>
                      <w:szCs w:val="21"/>
                      <w:highlight w:val="none"/>
                      <w:lang w:val="zh-CN" w:eastAsia="zh-CN" w:bidi="ar-SA"/>
                    </w:rPr>
                  </w:pPr>
                  <w:r>
                    <w:rPr>
                      <w:rFonts w:hint="default" w:ascii="Times New Roman" w:hAnsi="Times New Roman" w:eastAsia="宋体" w:cs="Times New Roman"/>
                      <w:b w:val="0"/>
                      <w:bCs/>
                      <w:color w:val="auto"/>
                      <w:sz w:val="21"/>
                      <w:szCs w:val="21"/>
                      <w:highlight w:val="none"/>
                      <w:lang w:val="zh-CN" w:eastAsia="zh-CN" w:bidi="ar-SA"/>
                    </w:rPr>
                    <w:t>第一节 统筹划定落实三条控制线</w:t>
                  </w:r>
                </w:p>
                <w:p>
                  <w:pPr>
                    <w:pStyle w:val="10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both"/>
                    <w:textAlignment w:val="baseline"/>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一、耕地和永久基本农田保护红线</w:t>
                  </w:r>
                </w:p>
                <w:p>
                  <w:pPr>
                    <w:pStyle w:val="109"/>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left="0" w:leftChars="0" w:right="0" w:rightChars="0" w:firstLine="0" w:firstLineChars="0"/>
                    <w:jc w:val="both"/>
                    <w:textAlignment w:val="baseline"/>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落实国、省下达的耕地和永久基本农田保护任务，现状耕地应划尽划、应保尽保，将可以长期稳定利用耕地优先划入永久基本农田实行特殊保护。全市耕地保护目标为2739.00平方公里（410.85万亩），永久基本农田保护目标1873.33平方公里（281.00万亩）。全市实际划定耕地保护面积2739.16平方公里（410.87万亩），实际划定永久基本农田面积1874.07平方公里（281.11万亩）。</w:t>
                  </w:r>
                </w:p>
              </w:tc>
              <w:tc>
                <w:tcPr>
                  <w:tcW w:w="2521"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jc w:val="both"/>
                    <w:textAlignment w:val="baseline"/>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sq-AL" w:eastAsia="zh-CN"/>
                    </w:rPr>
                    <w:t>本项目</w:t>
                  </w:r>
                  <w:r>
                    <w:rPr>
                      <w:rFonts w:hint="default" w:ascii="Times New Roman" w:hAnsi="Times New Roman" w:eastAsia="宋体" w:cs="Times New Roman"/>
                      <w:b w:val="0"/>
                      <w:bCs/>
                      <w:color w:val="auto"/>
                      <w:sz w:val="21"/>
                      <w:szCs w:val="21"/>
                      <w:highlight w:val="none"/>
                      <w:lang w:val="en-US" w:eastAsia="zh-CN"/>
                    </w:rPr>
                    <w:t>位于</w:t>
                  </w:r>
                  <w:r>
                    <w:rPr>
                      <w:rFonts w:hint="eastAsia" w:cs="Times New Roman"/>
                      <w:b w:val="0"/>
                      <w:bCs/>
                      <w:color w:val="auto"/>
                      <w:sz w:val="21"/>
                      <w:szCs w:val="21"/>
                      <w:highlight w:val="none"/>
                      <w:lang w:val="en-US" w:eastAsia="zh-CN"/>
                    </w:rPr>
                    <w:t>伊春市嘉荫县旧城村，工程占地性质为工业用地，未占用区域耕地和永久</w:t>
                  </w:r>
                  <w:r>
                    <w:rPr>
                      <w:rFonts w:hint="default" w:ascii="Times New Roman" w:hAnsi="Times New Roman" w:eastAsia="宋体" w:cs="Times New Roman"/>
                      <w:b w:val="0"/>
                      <w:bCs/>
                      <w:color w:val="auto"/>
                      <w:sz w:val="21"/>
                      <w:szCs w:val="21"/>
                      <w:highlight w:val="none"/>
                      <w:lang w:val="zh-CN" w:eastAsia="zh-CN" w:bidi="ar-SA"/>
                    </w:rPr>
                    <w:t>基本农田红线</w:t>
                  </w:r>
                  <w:r>
                    <w:rPr>
                      <w:rFonts w:hint="eastAsia" w:cs="Times New Roman"/>
                      <w:b w:val="0"/>
                      <w:bCs/>
                      <w:color w:val="auto"/>
                      <w:sz w:val="21"/>
                      <w:szCs w:val="21"/>
                      <w:highlight w:val="none"/>
                      <w:lang w:val="zh-CN" w:eastAsia="zh-CN" w:bidi="ar-SA"/>
                    </w:rPr>
                    <w:t>。</w:t>
                  </w:r>
                </w:p>
              </w:tc>
              <w:tc>
                <w:tcPr>
                  <w:tcW w:w="810"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jc w:val="center"/>
                    <w:textAlignment w:val="baseline"/>
                    <w:rPr>
                      <w:rFonts w:hint="eastAsia" w:ascii="Times New Roman" w:hAnsi="Times New Roman" w:eastAsia="宋体"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3779" w:type="dxa"/>
                  <w:tcBorders>
                    <w:tl2br w:val="nil"/>
                    <w:tr2bl w:val="nil"/>
                  </w:tcBorders>
                  <w:noWrap w:val="0"/>
                  <w:vAlign w:val="center"/>
                </w:tcPr>
                <w:p>
                  <w:pPr>
                    <w:pStyle w:val="109"/>
                    <w:keepNext w:val="0"/>
                    <w:keepLines w:val="0"/>
                    <w:pageBreakBefore w:val="0"/>
                    <w:widowControl/>
                    <w:numPr>
                      <w:ilvl w:val="0"/>
                      <w:numId w:val="0"/>
                    </w:numPr>
                    <w:kinsoku/>
                    <w:wordWrap w:val="0"/>
                    <w:overflowPunct/>
                    <w:topLinePunct w:val="0"/>
                    <w:autoSpaceDE/>
                    <w:autoSpaceDN/>
                    <w:bidi w:val="0"/>
                    <w:adjustRightInd w:val="0"/>
                    <w:snapToGrid w:val="0"/>
                    <w:spacing w:before="0" w:after="0" w:line="240" w:lineRule="auto"/>
                    <w:ind w:right="0" w:rightChars="0"/>
                    <w:jc w:val="both"/>
                    <w:textAlignment w:val="baseline"/>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二、生态保护红线</w:t>
                  </w:r>
                </w:p>
                <w:p>
                  <w:pPr>
                    <w:pStyle w:val="109"/>
                    <w:keepNext w:val="0"/>
                    <w:keepLines w:val="0"/>
                    <w:pageBreakBefore w:val="0"/>
                    <w:widowControl/>
                    <w:numPr>
                      <w:ilvl w:val="0"/>
                      <w:numId w:val="0"/>
                    </w:numPr>
                    <w:kinsoku/>
                    <w:wordWrap w:val="0"/>
                    <w:overflowPunct/>
                    <w:topLinePunct w:val="0"/>
                    <w:autoSpaceDE/>
                    <w:autoSpaceDN/>
                    <w:bidi w:val="0"/>
                    <w:adjustRightInd w:val="0"/>
                    <w:snapToGrid w:val="0"/>
                    <w:spacing w:before="0" w:after="0" w:line="240" w:lineRule="auto"/>
                    <w:ind w:left="0" w:leftChars="0" w:right="0" w:rightChars="0" w:firstLine="0" w:firstLineChars="0"/>
                    <w:jc w:val="both"/>
                    <w:textAlignment w:val="baseline"/>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将整合优化后的自然保护地、重要水源涵养、生物多样性维护、水土保持、防风固沙等生态系统服务功能极重要区域和水土流失、土地沙化等生态环境极敏感区域，以及目前基本没有人类活动、具有潜在重要生态价值的生态空间划入生态保护红线。全市划定生态保护红线15219.36平方公里。</w:t>
                  </w:r>
                </w:p>
              </w:tc>
              <w:tc>
                <w:tcPr>
                  <w:tcW w:w="2521" w:type="dxa"/>
                  <w:tcBorders>
                    <w:tl2br w:val="nil"/>
                    <w:tr2bl w:val="nil"/>
                  </w:tcBorders>
                  <w:noWrap w:val="0"/>
                  <w:vAlign w:val="center"/>
                </w:tcPr>
                <w:p>
                  <w:pPr>
                    <w:pStyle w:val="109"/>
                    <w:keepNext w:val="0"/>
                    <w:keepLines w:val="0"/>
                    <w:pageBreakBefore w:val="0"/>
                    <w:widowControl/>
                    <w:numPr>
                      <w:ilvl w:val="0"/>
                      <w:numId w:val="0"/>
                    </w:numPr>
                    <w:kinsoku/>
                    <w:wordWrap w:val="0"/>
                    <w:overflowPunct/>
                    <w:topLinePunct w:val="0"/>
                    <w:autoSpaceDE/>
                    <w:autoSpaceDN/>
                    <w:bidi w:val="0"/>
                    <w:adjustRightInd w:val="0"/>
                    <w:snapToGrid w:val="0"/>
                    <w:spacing w:before="0" w:after="0" w:line="240" w:lineRule="auto"/>
                    <w:ind w:right="0" w:rightChars="0"/>
                    <w:jc w:val="both"/>
                    <w:textAlignment w:val="baseline"/>
                    <w:rPr>
                      <w:rFonts w:hint="default" w:ascii="Times New Roman" w:hAnsi="Times New Roman" w:eastAsia="宋体"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本项目未涉及区域生态保护红线。</w:t>
                  </w:r>
                </w:p>
              </w:tc>
              <w:tc>
                <w:tcPr>
                  <w:tcW w:w="810"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jc w:val="center"/>
                    <w:textAlignment w:val="baseline"/>
                    <w:rPr>
                      <w:rFonts w:hint="eastAsia" w:ascii="Times New Roman" w:hAnsi="Times New Roman" w:eastAsia="宋体"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3779" w:type="dxa"/>
                  <w:tcBorders>
                    <w:tl2br w:val="nil"/>
                    <w:tr2bl w:val="nil"/>
                  </w:tcBorders>
                  <w:noWrap w:val="0"/>
                  <w:vAlign w:val="center"/>
                </w:tcPr>
                <w:p>
                  <w:pPr>
                    <w:pStyle w:val="109"/>
                    <w:keepNext w:val="0"/>
                    <w:keepLines w:val="0"/>
                    <w:pageBreakBefore w:val="0"/>
                    <w:widowControl/>
                    <w:kinsoku/>
                    <w:wordWrap w:val="0"/>
                    <w:overflowPunct/>
                    <w:topLinePunct w:val="0"/>
                    <w:autoSpaceDE/>
                    <w:autoSpaceDN/>
                    <w:bidi w:val="0"/>
                    <w:adjustRightInd w:val="0"/>
                    <w:snapToGrid w:val="0"/>
                    <w:spacing w:before="0" w:after="0" w:line="240" w:lineRule="auto"/>
                    <w:jc w:val="both"/>
                    <w:textAlignment w:val="baseline"/>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三、城镇开发边界</w:t>
                  </w:r>
                </w:p>
                <w:p>
                  <w:pPr>
                    <w:pStyle w:val="109"/>
                    <w:keepNext w:val="0"/>
                    <w:keepLines w:val="0"/>
                    <w:pageBreakBefore w:val="0"/>
                    <w:widowControl/>
                    <w:kinsoku/>
                    <w:wordWrap w:val="0"/>
                    <w:overflowPunct/>
                    <w:topLinePunct w:val="0"/>
                    <w:autoSpaceDE/>
                    <w:autoSpaceDN/>
                    <w:bidi w:val="0"/>
                    <w:adjustRightInd w:val="0"/>
                    <w:snapToGrid w:val="0"/>
                    <w:spacing w:before="0" w:after="0" w:line="240" w:lineRule="auto"/>
                    <w:ind w:right="113" w:rightChars="0" w:firstLine="0" w:firstLineChars="0"/>
                    <w:jc w:val="both"/>
                    <w:textAlignment w:val="baseline"/>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在优先划定永久基本农田和生态保护红线的基础上，利用全国自然灾害综合风险普查结果，合理避让自然灾害高风险区域，结合国土空间现状基础和发展格局，按照推进主城区集聚发展、外围集约发展的原则，对各县（市）、区开发边界规模进行分解传导，统筹划定城镇开发边界，引导形成集约紧凑的城镇空间格局。全市划定城镇开发边界191.85平方公里。</w:t>
                  </w:r>
                </w:p>
              </w:tc>
              <w:tc>
                <w:tcPr>
                  <w:tcW w:w="2521"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jc w:val="both"/>
                    <w:textAlignment w:val="baseline"/>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sq-AL" w:eastAsia="zh-CN"/>
                    </w:rPr>
                    <w:t>本项目</w:t>
                  </w:r>
                  <w:r>
                    <w:rPr>
                      <w:rFonts w:hint="default" w:ascii="Times New Roman" w:hAnsi="Times New Roman" w:eastAsia="宋体" w:cs="Times New Roman"/>
                      <w:b w:val="0"/>
                      <w:bCs/>
                      <w:color w:val="auto"/>
                      <w:sz w:val="21"/>
                      <w:szCs w:val="21"/>
                      <w:highlight w:val="none"/>
                      <w:lang w:val="en-US" w:eastAsia="zh-CN"/>
                    </w:rPr>
                    <w:t>位于</w:t>
                  </w:r>
                  <w:r>
                    <w:rPr>
                      <w:rFonts w:hint="eastAsia" w:cs="Times New Roman"/>
                      <w:b w:val="0"/>
                      <w:bCs/>
                      <w:color w:val="auto"/>
                      <w:sz w:val="21"/>
                      <w:szCs w:val="21"/>
                      <w:highlight w:val="none"/>
                      <w:lang w:val="en-US" w:eastAsia="zh-CN"/>
                    </w:rPr>
                    <w:t>伊春市嘉荫县旧城村，工程占地范围内，并未涉及区域农田保护区、生态保护区和生态控制区。</w:t>
                  </w:r>
                </w:p>
              </w:tc>
              <w:tc>
                <w:tcPr>
                  <w:tcW w:w="810"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jc w:val="center"/>
                    <w:textAlignment w:val="baseline"/>
                    <w:rPr>
                      <w:rFonts w:hint="eastAsia" w:ascii="Times New Roman" w:hAnsi="Times New Roman" w:eastAsia="宋体" w:cs="Times New Roman"/>
                      <w:b w:val="0"/>
                      <w:bCs/>
                      <w:color w:val="auto"/>
                      <w:sz w:val="21"/>
                      <w:szCs w:val="21"/>
                      <w:highlight w:val="none"/>
                      <w:lang w:val="en-US" w:eastAsia="zh-CN" w:bidi="ar-SA"/>
                    </w:rPr>
                  </w:pPr>
                  <w:r>
                    <w:rPr>
                      <w:rFonts w:hint="eastAsia" w:cs="Times New Roman"/>
                      <w:b w:val="0"/>
                      <w:bCs/>
                      <w:color w:val="auto"/>
                      <w:sz w:val="21"/>
                      <w:szCs w:val="21"/>
                      <w:highlight w:val="none"/>
                      <w:lang w:val="en-US" w:eastAsia="zh-CN" w:bidi="ar-SA"/>
                    </w:rPr>
                    <w:t>符合</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outlineLvl w:val="9"/>
              <w:rPr>
                <w:b/>
                <w:bCs/>
                <w:color w:val="auto"/>
                <w:sz w:val="24"/>
                <w:highlight w:val="none"/>
              </w:rPr>
            </w:pPr>
            <w:r>
              <w:rPr>
                <w:rFonts w:hint="default" w:ascii="Times New Roman" w:hAnsi="Times New Roman" w:cs="Times New Roman"/>
                <w:b/>
                <w:bCs/>
                <w:color w:val="auto"/>
                <w:sz w:val="24"/>
                <w:highlight w:val="none"/>
                <w:lang w:val="en-US" w:eastAsia="zh-CN"/>
              </w:rPr>
              <w:t>10</w:t>
            </w:r>
            <w:r>
              <w:rPr>
                <w:b/>
                <w:bCs/>
                <w:color w:val="auto"/>
                <w:sz w:val="24"/>
                <w:highlight w:val="none"/>
              </w:rPr>
              <w:t>、选址符合性分析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outlineLvl w:val="9"/>
              <w:rPr>
                <w:bCs/>
                <w:color w:val="auto"/>
                <w:kern w:val="0"/>
                <w:sz w:val="24"/>
                <w:highlight w:val="none"/>
              </w:rPr>
            </w:pPr>
            <w:r>
              <w:rPr>
                <w:bCs/>
                <w:color w:val="auto"/>
                <w:kern w:val="0"/>
                <w:sz w:val="24"/>
                <w:highlight w:val="none"/>
              </w:rPr>
              <w:t>项目位于</w:t>
            </w:r>
            <w:r>
              <w:rPr>
                <w:rFonts w:hint="eastAsia"/>
                <w:color w:val="auto"/>
                <w:sz w:val="24"/>
                <w:highlight w:val="none"/>
                <w:lang w:eastAsia="zh-CN"/>
              </w:rPr>
              <w:t>伊春市嘉荫县旧城村，</w:t>
            </w:r>
            <w:r>
              <w:rPr>
                <w:bCs/>
                <w:color w:val="auto"/>
                <w:kern w:val="0"/>
                <w:sz w:val="24"/>
                <w:highlight w:val="none"/>
              </w:rPr>
              <w:t>项目选址不属于生活饮用水源地和地下水补给区、风景名胜区、温泉疗养区、水产养殖区、基本农田保护区、自然保护区等需要特殊保护区域。</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snapToGrid/>
              <w:spacing w:line="360" w:lineRule="auto"/>
              <w:ind w:firstLine="480" w:firstLineChars="200"/>
              <w:jc w:val="both"/>
              <w:textAlignment w:val="auto"/>
              <w:outlineLvl w:val="9"/>
              <w:rPr>
                <w:color w:val="auto"/>
                <w:sz w:val="24"/>
                <w:highlight w:val="yellow"/>
              </w:rPr>
            </w:pPr>
            <w:r>
              <w:rPr>
                <w:rFonts w:hint="default" w:ascii="Times New Roman" w:hAnsi="Times New Roman" w:eastAsia="宋体" w:cs="Times New Roman"/>
                <w:color w:val="auto"/>
                <w:kern w:val="0"/>
                <w:sz w:val="24"/>
                <w:szCs w:val="24"/>
              </w:rPr>
              <w:t>本项目用地性质为</w:t>
            </w:r>
            <w:r>
              <w:rPr>
                <w:rFonts w:hint="eastAsia" w:cs="Times New Roman"/>
                <w:color w:val="auto"/>
                <w:kern w:val="0"/>
                <w:sz w:val="24"/>
                <w:szCs w:val="24"/>
                <w:lang w:val="en-US" w:eastAsia="zh-CN"/>
              </w:rPr>
              <w:t>工业</w:t>
            </w:r>
            <w:r>
              <w:rPr>
                <w:rFonts w:hint="default" w:ascii="Times New Roman" w:hAnsi="Times New Roman" w:eastAsia="宋体" w:cs="Times New Roman"/>
                <w:color w:val="auto"/>
                <w:kern w:val="0"/>
                <w:sz w:val="24"/>
                <w:szCs w:val="24"/>
                <w:lang w:val="en-US" w:eastAsia="zh-CN"/>
              </w:rPr>
              <w:t>用地，</w:t>
            </w:r>
            <w:r>
              <w:rPr>
                <w:rFonts w:hint="default" w:ascii="Times New Roman" w:hAnsi="Times New Roman" w:eastAsia="宋体" w:cs="Times New Roman"/>
                <w:color w:val="auto"/>
                <w:kern w:val="0"/>
                <w:sz w:val="24"/>
                <w:szCs w:val="24"/>
              </w:rPr>
              <w:t>行业类别与用地性质相符，符合土地政策要求。</w:t>
            </w:r>
          </w:p>
          <w:p>
            <w:pPr>
              <w:pStyle w:val="81"/>
              <w:keepNext w:val="0"/>
              <w:keepLines w:val="0"/>
              <w:pageBreakBefore w:val="0"/>
              <w:widowControl w:val="0"/>
              <w:kinsoku/>
              <w:wordWrap/>
              <w:overflowPunct/>
              <w:topLinePunct w:val="0"/>
              <w:autoSpaceDE/>
              <w:autoSpaceDN/>
              <w:bidi w:val="0"/>
              <w:adjustRightInd/>
              <w:snapToGrid/>
              <w:ind w:firstLine="480" w:firstLineChars="200"/>
              <w:jc w:val="both"/>
              <w:textAlignment w:val="auto"/>
              <w:outlineLvl w:val="9"/>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本项目位于</w:t>
            </w:r>
            <w:r>
              <w:rPr>
                <w:rFonts w:hint="eastAsia" w:cs="Times New Roman"/>
                <w:color w:val="auto"/>
                <w:sz w:val="24"/>
                <w:highlight w:val="none"/>
                <w:lang w:eastAsia="zh-CN"/>
              </w:rPr>
              <w:t>伊春市嘉荫县旧城村</w:t>
            </w:r>
            <w:r>
              <w:rPr>
                <w:rFonts w:hint="eastAsia" w:ascii="Times New Roman" w:hAnsi="Times New Roman" w:eastAsia="宋体" w:cs="Times New Roman"/>
                <w:color w:val="auto"/>
                <w:sz w:val="24"/>
                <w:highlight w:val="none"/>
                <w:lang w:eastAsia="zh-CN"/>
              </w:rPr>
              <w:t>。厂界北侧为</w:t>
            </w:r>
            <w:r>
              <w:rPr>
                <w:rFonts w:hint="eastAsia" w:cs="Times New Roman"/>
                <w:color w:val="auto"/>
                <w:sz w:val="24"/>
                <w:highlight w:val="none"/>
                <w:lang w:eastAsia="zh-CN"/>
              </w:rPr>
              <w:t>农田</w:t>
            </w:r>
            <w:r>
              <w:rPr>
                <w:rFonts w:hint="eastAsia" w:ascii="Times New Roman" w:hAnsi="Times New Roman" w:eastAsia="宋体" w:cs="Times New Roman"/>
                <w:color w:val="auto"/>
                <w:sz w:val="24"/>
                <w:highlight w:val="none"/>
                <w:lang w:eastAsia="zh-CN"/>
              </w:rPr>
              <w:t>、东侧为</w:t>
            </w:r>
            <w:r>
              <w:rPr>
                <w:rFonts w:hint="eastAsia" w:cs="Times New Roman"/>
                <w:color w:val="auto"/>
                <w:sz w:val="24"/>
                <w:highlight w:val="none"/>
                <w:lang w:eastAsia="zh-CN"/>
              </w:rPr>
              <w:t>村屯</w:t>
            </w:r>
            <w:r>
              <w:rPr>
                <w:rFonts w:hint="eastAsia" w:ascii="Times New Roman" w:hAnsi="Times New Roman" w:eastAsia="宋体" w:cs="Times New Roman"/>
                <w:color w:val="auto"/>
                <w:sz w:val="24"/>
                <w:highlight w:val="none"/>
                <w:lang w:eastAsia="zh-CN"/>
              </w:rPr>
              <w:t>、南侧为</w:t>
            </w:r>
            <w:r>
              <w:rPr>
                <w:rFonts w:hint="eastAsia" w:cs="Times New Roman"/>
                <w:color w:val="auto"/>
                <w:sz w:val="24"/>
                <w:highlight w:val="none"/>
                <w:lang w:val="en-US" w:eastAsia="zh-CN"/>
              </w:rPr>
              <w:t>G331</w:t>
            </w:r>
            <w:r>
              <w:rPr>
                <w:rFonts w:hint="eastAsia" w:ascii="Times New Roman" w:hAnsi="Times New Roman" w:eastAsia="宋体" w:cs="Times New Roman"/>
                <w:color w:val="auto"/>
                <w:sz w:val="24"/>
                <w:highlight w:val="none"/>
                <w:lang w:eastAsia="zh-CN"/>
              </w:rPr>
              <w:t>、西侧为</w:t>
            </w:r>
            <w:r>
              <w:rPr>
                <w:rFonts w:hint="eastAsia" w:cs="Times New Roman"/>
                <w:color w:val="auto"/>
                <w:sz w:val="24"/>
                <w:highlight w:val="none"/>
                <w:lang w:eastAsia="zh-CN"/>
              </w:rPr>
              <w:t>农田</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项目所在地具有方便的交通运输和水电条件，便于项目的建设。</w:t>
            </w:r>
          </w:p>
          <w:p>
            <w:pPr>
              <w:shd w:val="clear" w:color="auto" w:fill="auto"/>
              <w:autoSpaceDE w:val="0"/>
              <w:autoSpaceDN w:val="0"/>
              <w:adjustRightInd w:val="0"/>
              <w:snapToGrid w:val="0"/>
              <w:spacing w:line="360" w:lineRule="auto"/>
              <w:ind w:firstLine="480" w:firstLineChars="200"/>
              <w:rPr>
                <w:color w:val="auto"/>
                <w:sz w:val="24"/>
                <w:highlight w:val="none"/>
              </w:rPr>
            </w:pPr>
            <w:r>
              <w:rPr>
                <w:rFonts w:hint="eastAsia" w:cs="Times New Roman"/>
                <w:b w:val="0"/>
                <w:bCs/>
                <w:color w:val="auto"/>
                <w:sz w:val="24"/>
                <w:szCs w:val="24"/>
                <w:lang w:val="en-US" w:eastAsia="zh-CN"/>
              </w:rPr>
              <w:t>本项目砂石</w:t>
            </w:r>
            <w:r>
              <w:rPr>
                <w:rFonts w:hint="eastAsia" w:ascii="Times New Roman" w:hAnsi="Times New Roman" w:eastAsia="宋体" w:cs="Times New Roman"/>
                <w:b w:val="0"/>
                <w:bCs/>
                <w:color w:val="auto"/>
                <w:spacing w:val="0"/>
                <w:sz w:val="24"/>
                <w:szCs w:val="24"/>
                <w:highlight w:val="none"/>
              </w:rPr>
              <w:t>原料</w:t>
            </w:r>
            <w:r>
              <w:rPr>
                <w:rFonts w:hint="default" w:ascii="Times New Roman" w:hAnsi="Times New Roman" w:eastAsia="宋体" w:cs="Times New Roman"/>
                <w:b w:val="0"/>
                <w:bCs/>
                <w:color w:val="auto"/>
                <w:spacing w:val="0"/>
                <w:sz w:val="24"/>
                <w:szCs w:val="24"/>
                <w:highlight w:val="none"/>
              </w:rPr>
              <w:t>采用卡车运输，卡车用苫布苫盖</w:t>
            </w:r>
            <w:r>
              <w:rPr>
                <w:rFonts w:hint="eastAsia" w:ascii="Times New Roman" w:hAnsi="Times New Roman" w:eastAsia="宋体" w:cs="Times New Roman"/>
                <w:b w:val="0"/>
                <w:bCs/>
                <w:color w:val="auto"/>
                <w:spacing w:val="0"/>
                <w:sz w:val="24"/>
                <w:szCs w:val="24"/>
                <w:highlight w:val="none"/>
              </w:rPr>
              <w:t>，</w:t>
            </w:r>
            <w:r>
              <w:rPr>
                <w:rFonts w:hint="eastAsia" w:cs="Times New Roman"/>
                <w:b w:val="0"/>
                <w:bCs/>
                <w:color w:val="auto"/>
                <w:spacing w:val="0"/>
                <w:sz w:val="24"/>
                <w:szCs w:val="24"/>
                <w:highlight w:val="none"/>
                <w:lang w:eastAsia="zh-CN"/>
              </w:rPr>
              <w:t>水泥采用专用水泥运输罐车运输</w:t>
            </w:r>
            <w:r>
              <w:rPr>
                <w:rFonts w:hint="eastAsia" w:ascii="Times New Roman" w:hAnsi="Times New Roman" w:eastAsia="宋体" w:cs="Times New Roman"/>
                <w:b w:val="0"/>
                <w:bCs/>
                <w:color w:val="auto"/>
                <w:spacing w:val="0"/>
                <w:sz w:val="24"/>
                <w:szCs w:val="24"/>
                <w:highlight w:val="none"/>
                <w:lang w:val="en-US" w:eastAsia="zh-CN"/>
              </w:rPr>
              <w:t>，且对厂区进行洒水抑尘</w:t>
            </w:r>
            <w:r>
              <w:rPr>
                <w:rFonts w:hint="eastAsia" w:ascii="Times New Roman" w:hAnsi="Times New Roman" w:eastAsia="宋体" w:cs="Times New Roman"/>
                <w:b w:val="0"/>
                <w:bCs/>
                <w:color w:val="auto"/>
                <w:spacing w:val="0"/>
                <w:sz w:val="24"/>
                <w:szCs w:val="24"/>
                <w:highlight w:val="none"/>
              </w:rPr>
              <w:t>；本项目</w:t>
            </w:r>
            <w:r>
              <w:rPr>
                <w:rFonts w:hint="eastAsia" w:ascii="Times New Roman" w:hAnsi="Times New Roman" w:eastAsia="宋体" w:cs="Times New Roman"/>
                <w:b w:val="0"/>
                <w:bCs/>
                <w:color w:val="auto"/>
                <w:spacing w:val="0"/>
                <w:sz w:val="24"/>
                <w:szCs w:val="24"/>
                <w:highlight w:val="none"/>
                <w:lang w:val="en-US" w:eastAsia="zh-CN"/>
              </w:rPr>
              <w:t>砂石料</w:t>
            </w:r>
            <w:r>
              <w:rPr>
                <w:rFonts w:hint="default" w:ascii="Times New Roman" w:hAnsi="Times New Roman" w:eastAsia="宋体" w:cs="Times New Roman"/>
                <w:b w:val="0"/>
                <w:bCs/>
                <w:color w:val="auto"/>
                <w:spacing w:val="0"/>
                <w:sz w:val="24"/>
                <w:szCs w:val="24"/>
                <w:highlight w:val="none"/>
                <w:lang w:val="en-US" w:eastAsia="zh-CN"/>
              </w:rPr>
              <w:t>堆</w:t>
            </w:r>
            <w:r>
              <w:rPr>
                <w:rFonts w:hint="eastAsia" w:ascii="Times New Roman" w:hAnsi="Times New Roman" w:eastAsia="宋体" w:cs="Times New Roman"/>
                <w:b w:val="0"/>
                <w:bCs/>
                <w:color w:val="auto"/>
                <w:spacing w:val="0"/>
                <w:sz w:val="24"/>
                <w:szCs w:val="24"/>
                <w:highlight w:val="none"/>
                <w:lang w:val="en-US" w:eastAsia="zh-CN"/>
              </w:rPr>
              <w:t>场</w:t>
            </w:r>
            <w:r>
              <w:rPr>
                <w:rFonts w:hint="eastAsia" w:ascii="Times New Roman" w:hAnsi="Times New Roman" w:eastAsia="宋体" w:cs="Times New Roman"/>
                <w:b w:val="0"/>
                <w:bCs/>
                <w:color w:val="auto"/>
                <w:spacing w:val="0"/>
                <w:sz w:val="24"/>
                <w:szCs w:val="24"/>
                <w:highlight w:val="none"/>
                <w:lang w:eastAsia="zh-CN"/>
              </w:rPr>
              <w:t>四周设置</w:t>
            </w:r>
            <w:r>
              <w:rPr>
                <w:rFonts w:hint="default" w:ascii="Times New Roman" w:hAnsi="Times New Roman" w:eastAsia="宋体" w:cs="Times New Roman"/>
                <w:b w:val="0"/>
                <w:bCs/>
                <w:color w:val="auto"/>
                <w:spacing w:val="0"/>
                <w:sz w:val="24"/>
                <w:szCs w:val="24"/>
                <w:highlight w:val="none"/>
                <w:lang w:val="en-US" w:eastAsia="zh-CN"/>
              </w:rPr>
              <w:t>防风抑尘网</w:t>
            </w:r>
            <w:r>
              <w:rPr>
                <w:rFonts w:hint="eastAsia" w:ascii="Times New Roman" w:hAnsi="Times New Roman" w:eastAsia="宋体" w:cs="Times New Roman"/>
                <w:b w:val="0"/>
                <w:bCs/>
                <w:color w:val="auto"/>
                <w:spacing w:val="0"/>
                <w:sz w:val="24"/>
                <w:szCs w:val="24"/>
                <w:highlight w:val="none"/>
                <w:lang w:val="en-US" w:eastAsia="zh-CN"/>
              </w:rPr>
              <w:t>，并洒水抑尘；水泥和粉煤灰采用筒仓存储，水泥、粉煤灰筒仓</w:t>
            </w:r>
            <w:r>
              <w:rPr>
                <w:rFonts w:hint="eastAsia" w:ascii="Times New Roman" w:hAnsi="Times New Roman" w:eastAsia="宋体" w:cs="Times New Roman"/>
                <w:b w:val="0"/>
                <w:bCs/>
                <w:color w:val="auto"/>
                <w:spacing w:val="0"/>
                <w:sz w:val="24"/>
                <w:szCs w:val="24"/>
                <w:highlight w:val="none"/>
              </w:rPr>
              <w:t>均配备仓顶式布袋除尘器，废气经处理后由无组织形式排放；</w:t>
            </w:r>
            <w:r>
              <w:rPr>
                <w:rFonts w:hint="eastAsia" w:ascii="Times New Roman" w:hAnsi="Times New Roman" w:eastAsia="宋体" w:cs="Times New Roman"/>
                <w:b w:val="0"/>
                <w:bCs/>
                <w:color w:val="auto"/>
                <w:spacing w:val="0"/>
                <w:sz w:val="24"/>
                <w:szCs w:val="24"/>
                <w:highlight w:val="none"/>
                <w:lang w:val="en-US" w:eastAsia="zh-CN"/>
              </w:rPr>
              <w:t>投料</w:t>
            </w:r>
            <w:r>
              <w:rPr>
                <w:rFonts w:hint="default" w:ascii="Times New Roman" w:hAnsi="Times New Roman" w:eastAsia="宋体" w:cs="Times New Roman"/>
                <w:b w:val="0"/>
                <w:bCs/>
                <w:color w:val="auto"/>
                <w:spacing w:val="0"/>
                <w:sz w:val="24"/>
                <w:szCs w:val="24"/>
                <w:highlight w:val="none"/>
                <w:lang w:val="en-US" w:eastAsia="zh-CN"/>
              </w:rPr>
              <w:t>斗设置</w:t>
            </w:r>
            <w:r>
              <w:rPr>
                <w:rFonts w:hint="eastAsia" w:ascii="Times New Roman" w:hAnsi="Times New Roman" w:eastAsia="宋体" w:cs="Times New Roman"/>
                <w:b w:val="0"/>
                <w:bCs/>
                <w:color w:val="auto"/>
                <w:spacing w:val="0"/>
                <w:sz w:val="24"/>
                <w:szCs w:val="24"/>
                <w:highlight w:val="none"/>
                <w:lang w:val="en-US" w:eastAsia="zh-CN"/>
              </w:rPr>
              <w:t>在</w:t>
            </w:r>
            <w:r>
              <w:rPr>
                <w:rFonts w:hint="eastAsia" w:ascii="Times New Roman" w:hAnsi="Times New Roman" w:eastAsia="宋体" w:cs="Times New Roman"/>
                <w:b w:val="0"/>
                <w:bCs/>
                <w:color w:val="auto"/>
                <w:kern w:val="2"/>
                <w:sz w:val="24"/>
                <w:szCs w:val="24"/>
                <w:highlight w:val="none"/>
                <w:lang w:val="en-US" w:eastAsia="zh-CN" w:bidi="ar-SA"/>
              </w:rPr>
              <w:t>半封闭式罩棚内</w:t>
            </w:r>
            <w:r>
              <w:rPr>
                <w:rFonts w:hint="default"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lang w:val="en-US" w:eastAsia="zh-CN"/>
              </w:rPr>
              <w:t>并在投料</w:t>
            </w:r>
            <w:r>
              <w:rPr>
                <w:rFonts w:hint="default" w:ascii="Times New Roman" w:hAnsi="Times New Roman" w:eastAsia="宋体" w:cs="Times New Roman"/>
                <w:b w:val="0"/>
                <w:bCs/>
                <w:color w:val="auto"/>
                <w:spacing w:val="0"/>
                <w:sz w:val="24"/>
                <w:szCs w:val="24"/>
                <w:highlight w:val="none"/>
                <w:lang w:val="en-US" w:eastAsia="zh-CN"/>
              </w:rPr>
              <w:t>斗</w:t>
            </w:r>
            <w:r>
              <w:rPr>
                <w:rFonts w:hint="eastAsia" w:ascii="Times New Roman" w:hAnsi="Times New Roman" w:eastAsia="宋体" w:cs="Times New Roman"/>
                <w:b w:val="0"/>
                <w:bCs/>
                <w:color w:val="auto"/>
                <w:spacing w:val="0"/>
                <w:sz w:val="24"/>
                <w:szCs w:val="24"/>
                <w:highlight w:val="none"/>
                <w:lang w:val="en-US" w:eastAsia="zh-CN"/>
              </w:rPr>
              <w:t>上方</w:t>
            </w:r>
            <w:r>
              <w:rPr>
                <w:rFonts w:hint="default" w:ascii="Times New Roman" w:hAnsi="Times New Roman" w:eastAsia="宋体" w:cs="Times New Roman"/>
                <w:b w:val="0"/>
                <w:bCs/>
                <w:color w:val="auto"/>
                <w:spacing w:val="0"/>
                <w:sz w:val="24"/>
                <w:szCs w:val="24"/>
                <w:highlight w:val="none"/>
                <w:lang w:val="en-US" w:eastAsia="zh-CN"/>
              </w:rPr>
              <w:t>设置</w:t>
            </w:r>
            <w:r>
              <w:rPr>
                <w:rFonts w:hint="eastAsia" w:ascii="Times New Roman" w:hAnsi="Times New Roman" w:eastAsia="宋体" w:cs="Times New Roman"/>
                <w:b w:val="0"/>
                <w:bCs/>
                <w:color w:val="auto"/>
                <w:spacing w:val="0"/>
                <w:sz w:val="24"/>
                <w:szCs w:val="24"/>
                <w:highlight w:val="none"/>
                <w:lang w:val="en-US" w:eastAsia="zh-CN"/>
              </w:rPr>
              <w:t>雾化喷淋装置；水泥、砂石、粉煤灰进入搅拌机均采用密闭式输送；</w:t>
            </w:r>
            <w:r>
              <w:rPr>
                <w:rFonts w:hint="eastAsia" w:ascii="Times New Roman" w:hAnsi="Times New Roman" w:eastAsia="宋体" w:cs="Times New Roman"/>
                <w:b w:val="0"/>
                <w:bCs/>
                <w:color w:val="auto"/>
                <w:spacing w:val="0"/>
                <w:sz w:val="24"/>
                <w:szCs w:val="24"/>
                <w:highlight w:val="none"/>
              </w:rPr>
              <w:t>厂区地面进行硬化，定时洒水抑尘</w:t>
            </w:r>
            <w:r>
              <w:rPr>
                <w:rFonts w:hint="default" w:ascii="Times New Roman" w:hAnsi="Times New Roman" w:eastAsia="宋体" w:cs="Times New Roman"/>
                <w:b w:val="0"/>
                <w:bCs/>
                <w:color w:val="auto"/>
                <w:spacing w:val="0"/>
                <w:sz w:val="24"/>
                <w:szCs w:val="24"/>
                <w:highlight w:val="none"/>
              </w:rPr>
              <w:t>。</w:t>
            </w:r>
            <w:r>
              <w:rPr>
                <w:rFonts w:hint="eastAsia" w:ascii="Times New Roman" w:hAnsi="Times New Roman" w:eastAsia="宋体" w:cs="Times New Roman"/>
                <w:b w:val="0"/>
                <w:bCs/>
                <w:color w:val="auto"/>
                <w:spacing w:val="0"/>
                <w:sz w:val="24"/>
                <w:szCs w:val="24"/>
                <w:highlight w:val="none"/>
                <w:lang w:val="en-US" w:eastAsia="zh-CN"/>
              </w:rPr>
              <w:t>混凝土</w:t>
            </w:r>
            <w:r>
              <w:rPr>
                <w:rFonts w:hint="default" w:ascii="Times New Roman" w:hAnsi="Times New Roman" w:eastAsia="宋体" w:cs="Times New Roman"/>
                <w:b w:val="0"/>
                <w:bCs/>
                <w:color w:val="auto"/>
                <w:spacing w:val="0"/>
                <w:sz w:val="24"/>
                <w:szCs w:val="24"/>
                <w:highlight w:val="none"/>
                <w:lang w:val="en-US" w:eastAsia="zh-CN"/>
              </w:rPr>
              <w:t>搅拌机通气口设置1套布袋除尘器，搅拌主机卸料口应设置</w:t>
            </w:r>
            <w:r>
              <w:rPr>
                <w:rFonts w:hint="eastAsia" w:ascii="Times New Roman" w:hAnsi="Times New Roman" w:eastAsia="宋体" w:cs="Times New Roman"/>
                <w:b w:val="0"/>
                <w:bCs/>
                <w:color w:val="auto"/>
                <w:spacing w:val="0"/>
                <w:sz w:val="24"/>
                <w:szCs w:val="24"/>
                <w:highlight w:val="none"/>
                <w:lang w:val="en-US" w:eastAsia="zh-CN"/>
              </w:rPr>
              <w:t>防喷溅设施，</w:t>
            </w:r>
            <w:r>
              <w:rPr>
                <w:rFonts w:hint="eastAsia" w:cs="Times New Roman"/>
                <w:b w:val="0"/>
                <w:bCs/>
                <w:color w:val="auto"/>
                <w:spacing w:val="0"/>
                <w:sz w:val="24"/>
                <w:szCs w:val="24"/>
                <w:highlight w:val="none"/>
                <w:lang w:val="en-US" w:eastAsia="zh-CN"/>
              </w:rPr>
              <w:t>粉尘经除尘器处理后以无组织形式排放至车间内部</w:t>
            </w:r>
            <w:r>
              <w:rPr>
                <w:rFonts w:hint="default" w:ascii="Times New Roman" w:hAnsi="Times New Roman" w:eastAsia="宋体" w:cs="Times New Roman"/>
                <w:b w:val="0"/>
                <w:bCs/>
                <w:color w:val="auto"/>
                <w:spacing w:val="0"/>
                <w:sz w:val="24"/>
                <w:szCs w:val="24"/>
                <w:highlight w:val="none"/>
                <w:lang w:val="en-US" w:eastAsia="zh-CN"/>
              </w:rPr>
              <w:t>。</w:t>
            </w:r>
            <w:r>
              <w:rPr>
                <w:rFonts w:ascii="宋体" w:hAnsi="宋体" w:cs="宋体"/>
                <w:color w:val="auto"/>
                <w:sz w:val="24"/>
                <w:szCs w:val="24"/>
              </w:rPr>
              <w:t>本项目选用低噪声设备，厂房封闭、</w:t>
            </w:r>
            <w:r>
              <w:rPr>
                <w:rFonts w:hint="eastAsia" w:ascii="Times New Roman" w:hAnsi="Times New Roman" w:eastAsia="宋体" w:cs="Times New Roman"/>
                <w:color w:val="auto"/>
                <w:sz w:val="24"/>
                <w:szCs w:val="24"/>
                <w:highlight w:val="none"/>
                <w:lang w:val="en-US" w:eastAsia="zh-CN"/>
              </w:rPr>
              <w:t>基础减震</w:t>
            </w:r>
            <w:r>
              <w:rPr>
                <w:rFonts w:ascii="宋体" w:hAnsi="宋体" w:cs="宋体"/>
                <w:color w:val="auto"/>
                <w:sz w:val="24"/>
                <w:szCs w:val="24"/>
              </w:rPr>
              <w:t>等措施，优化厂区布置</w:t>
            </w:r>
            <w:r>
              <w:rPr>
                <w:rFonts w:hint="eastAsia" w:ascii="Times New Roman" w:hAnsi="Times New Roman" w:eastAsia="宋体" w:cs="Times New Roman"/>
                <w:color w:val="auto"/>
                <w:sz w:val="24"/>
                <w:szCs w:val="24"/>
                <w:highlight w:val="none"/>
                <w:lang w:val="en-US" w:eastAsia="zh-CN"/>
              </w:rPr>
              <w:t>；通过控制室外铲车等作业车辆的车速降低噪声影响</w:t>
            </w:r>
            <w:r>
              <w:rPr>
                <w:rFonts w:hint="eastAsia" w:cs="Times New Roman"/>
                <w:color w:val="auto"/>
                <w:sz w:val="24"/>
                <w:szCs w:val="24"/>
                <w:highlight w:val="none"/>
                <w:lang w:val="en-US" w:eastAsia="zh-CN"/>
              </w:rPr>
              <w:t>。</w:t>
            </w:r>
          </w:p>
          <w:p>
            <w:pPr>
              <w:keepLines w:val="0"/>
              <w:pageBreakBefore w:val="0"/>
              <w:widowControl w:val="0"/>
              <w:kinsoku/>
              <w:wordWrap/>
              <w:overflowPunct/>
              <w:topLinePunct w:val="0"/>
              <w:autoSpaceDE w:val="0"/>
              <w:autoSpaceDN w:val="0"/>
              <w:bidi w:val="0"/>
              <w:adjustRightInd/>
              <w:snapToGrid/>
              <w:spacing w:line="360" w:lineRule="auto"/>
              <w:ind w:firstLine="480" w:firstLineChars="200"/>
              <w:jc w:val="both"/>
              <w:outlineLvl w:val="9"/>
              <w:rPr>
                <w:color w:val="auto"/>
                <w:sz w:val="24"/>
                <w:highlight w:val="none"/>
              </w:rPr>
            </w:pPr>
            <w:r>
              <w:rPr>
                <w:color w:val="auto"/>
                <w:sz w:val="24"/>
                <w:highlight w:val="none"/>
              </w:rPr>
              <w:t>根据工程分析确定的污染物源强，通过大气环境、水环境、声环境影响分析，说明项目建成后污染物达标排放对区域环境空气、水环境、声环境影响较小。项目建设不会使得环境功能发生改变。</w:t>
            </w:r>
          </w:p>
          <w:p>
            <w:pPr>
              <w:keepLines w:val="0"/>
              <w:pageBreakBefore w:val="0"/>
              <w:widowControl w:val="0"/>
              <w:kinsoku/>
              <w:wordWrap/>
              <w:overflowPunct/>
              <w:topLinePunct w:val="0"/>
              <w:autoSpaceDE w:val="0"/>
              <w:autoSpaceDN w:val="0"/>
              <w:bidi w:val="0"/>
              <w:adjustRightInd/>
              <w:snapToGrid/>
              <w:spacing w:line="360" w:lineRule="auto"/>
              <w:ind w:firstLine="480" w:firstLineChars="200"/>
              <w:jc w:val="both"/>
              <w:outlineLvl w:val="9"/>
              <w:rPr>
                <w:rFonts w:hint="eastAsia" w:ascii="Times New Roman" w:hAnsi="Times New Roman" w:eastAsia="宋体" w:cs="Times New Roman"/>
                <w:bCs/>
                <w:color w:val="auto"/>
                <w:kern w:val="0"/>
                <w:sz w:val="24"/>
                <w:szCs w:val="21"/>
                <w:highlight w:val="none"/>
                <w:lang w:val="en-US" w:eastAsia="zh-CN"/>
              </w:rPr>
            </w:pPr>
            <w:r>
              <w:rPr>
                <w:color w:val="auto"/>
                <w:sz w:val="24"/>
                <w:highlight w:val="none"/>
              </w:rPr>
              <w:t>综上所述，项目选址可行。</w:t>
            </w:r>
          </w:p>
        </w:tc>
      </w:tr>
    </w:tbl>
    <w:p>
      <w:pPr>
        <w:spacing w:line="360" w:lineRule="auto"/>
        <w:outlineLvl w:val="9"/>
        <w:rPr>
          <w:color w:val="auto"/>
          <w:sz w:val="30"/>
          <w:highlight w:val="none"/>
        </w:rPr>
        <w:sectPr>
          <w:footerReference r:id="rId5" w:type="default"/>
          <w:pgSz w:w="11906" w:h="16838"/>
          <w:pgMar w:top="1247" w:right="1531" w:bottom="136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8"/>
        <w:jc w:val="center"/>
        <w:outlineLvl w:val="0"/>
        <w:rPr>
          <w:rFonts w:ascii="Times New Roman" w:hAnsi="Times New Roman"/>
          <w:b/>
          <w:bCs/>
          <w:snapToGrid w:val="0"/>
          <w:color w:val="auto"/>
          <w:sz w:val="30"/>
          <w:szCs w:val="30"/>
          <w:highlight w:val="none"/>
        </w:rPr>
      </w:pPr>
      <w:bookmarkStart w:id="17" w:name="_Toc767"/>
      <w:r>
        <w:rPr>
          <w:rFonts w:ascii="Times New Roman" w:hAnsi="Times New Roman"/>
          <w:b/>
          <w:bCs/>
          <w:snapToGrid w:val="0"/>
          <w:color w:val="auto"/>
          <w:sz w:val="30"/>
          <w:szCs w:val="30"/>
          <w:highlight w:val="none"/>
        </w:rPr>
        <w:t>二、建设项目工程分析</w:t>
      </w:r>
      <w:bookmarkEnd w:id="17"/>
    </w:p>
    <w:tbl>
      <w:tblPr>
        <w:tblStyle w:val="32"/>
        <w:tblW w:w="935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7"/>
        <w:gridCol w:w="84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31" w:hRule="atLeast"/>
          <w:jc w:val="center"/>
        </w:trPr>
        <w:tc>
          <w:tcPr>
            <w:tcW w:w="877" w:type="dxa"/>
            <w:vAlign w:val="center"/>
          </w:tcPr>
          <w:p>
            <w:pPr>
              <w:pStyle w:val="28"/>
              <w:adjustRightInd w:val="0"/>
              <w:snapToGrid w:val="0"/>
              <w:spacing w:before="0" w:beforeAutospacing="0" w:after="0" w:afterAutospacing="0"/>
              <w:jc w:val="center"/>
              <w:rPr>
                <w:rFonts w:ascii="Times New Roman" w:hAnsi="Times New Roman"/>
                <w:b/>
                <w:bCs/>
                <w:color w:val="auto"/>
                <w:sz w:val="24"/>
                <w:szCs w:val="24"/>
                <w:highlight w:val="none"/>
              </w:rPr>
            </w:pPr>
            <w:r>
              <w:rPr>
                <w:rFonts w:ascii="Times New Roman" w:hAnsi="Times New Roman"/>
                <w:b/>
                <w:bCs/>
                <w:color w:val="auto"/>
                <w:sz w:val="24"/>
                <w:szCs w:val="24"/>
                <w:highlight w:val="none"/>
              </w:rPr>
              <w:t>建</w:t>
            </w:r>
          </w:p>
          <w:p>
            <w:pPr>
              <w:pStyle w:val="28"/>
              <w:adjustRightInd w:val="0"/>
              <w:snapToGrid w:val="0"/>
              <w:spacing w:before="0" w:beforeAutospacing="0" w:after="0" w:afterAutospacing="0"/>
              <w:jc w:val="center"/>
              <w:rPr>
                <w:rFonts w:ascii="Times New Roman" w:hAnsi="Times New Roman"/>
                <w:b/>
                <w:bCs/>
                <w:color w:val="auto"/>
                <w:sz w:val="24"/>
                <w:szCs w:val="24"/>
                <w:highlight w:val="none"/>
              </w:rPr>
            </w:pPr>
            <w:r>
              <w:rPr>
                <w:rFonts w:ascii="Times New Roman" w:hAnsi="Times New Roman"/>
                <w:b/>
                <w:bCs/>
                <w:color w:val="auto"/>
                <w:sz w:val="24"/>
                <w:szCs w:val="24"/>
                <w:highlight w:val="none"/>
              </w:rPr>
              <w:t>设</w:t>
            </w:r>
          </w:p>
          <w:p>
            <w:pPr>
              <w:pStyle w:val="28"/>
              <w:adjustRightInd w:val="0"/>
              <w:snapToGrid w:val="0"/>
              <w:spacing w:before="0" w:beforeAutospacing="0" w:after="0" w:afterAutospacing="0"/>
              <w:jc w:val="center"/>
              <w:rPr>
                <w:rFonts w:ascii="Times New Roman" w:hAnsi="Times New Roman"/>
                <w:b/>
                <w:bCs/>
                <w:color w:val="auto"/>
                <w:sz w:val="24"/>
                <w:szCs w:val="24"/>
                <w:highlight w:val="none"/>
              </w:rPr>
            </w:pPr>
            <w:r>
              <w:rPr>
                <w:rFonts w:ascii="Times New Roman" w:hAnsi="Times New Roman"/>
                <w:b/>
                <w:bCs/>
                <w:color w:val="auto"/>
                <w:sz w:val="24"/>
                <w:szCs w:val="24"/>
                <w:highlight w:val="none"/>
              </w:rPr>
              <w:t>内</w:t>
            </w:r>
          </w:p>
          <w:p>
            <w:pPr>
              <w:pStyle w:val="28"/>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b/>
                <w:bCs/>
                <w:color w:val="auto"/>
                <w:sz w:val="24"/>
                <w:szCs w:val="24"/>
                <w:highlight w:val="none"/>
              </w:rPr>
              <w:t>容</w:t>
            </w:r>
          </w:p>
        </w:tc>
        <w:tc>
          <w:tcPr>
            <w:tcW w:w="8477" w:type="dxa"/>
          </w:tcPr>
          <w:p>
            <w:pPr>
              <w:spacing w:line="360" w:lineRule="auto"/>
              <w:ind w:firstLine="482" w:firstLineChars="200"/>
              <w:rPr>
                <w:b/>
                <w:color w:val="auto"/>
                <w:sz w:val="24"/>
                <w:highlight w:val="none"/>
              </w:rPr>
            </w:pPr>
            <w:r>
              <w:rPr>
                <w:rFonts w:hint="default" w:ascii="Times New Roman" w:hAnsi="Times New Roman" w:cs="Times New Roman"/>
                <w:b/>
                <w:color w:val="auto"/>
                <w:sz w:val="24"/>
                <w:highlight w:val="none"/>
                <w:lang w:val="en-US" w:eastAsia="zh-CN"/>
              </w:rPr>
              <w:t>1</w:t>
            </w:r>
            <w:r>
              <w:rPr>
                <w:b/>
                <w:color w:val="auto"/>
                <w:sz w:val="24"/>
                <w:highlight w:val="none"/>
              </w:rPr>
              <w:t>、建设项目概况</w:t>
            </w:r>
          </w:p>
          <w:p>
            <w:pPr>
              <w:spacing w:line="360" w:lineRule="auto"/>
              <w:ind w:firstLine="480" w:firstLineChars="200"/>
              <w:rPr>
                <w:rFonts w:hint="eastAsia" w:eastAsia="宋体"/>
                <w:color w:val="auto"/>
                <w:sz w:val="24"/>
                <w:highlight w:val="none"/>
                <w:lang w:eastAsia="zh-CN"/>
              </w:rPr>
            </w:pPr>
            <w:r>
              <w:rPr>
                <w:rFonts w:hint="eastAsia"/>
                <w:color w:val="auto"/>
                <w:sz w:val="24"/>
                <w:highlight w:val="none"/>
              </w:rPr>
              <w:t>项目名称：</w:t>
            </w:r>
            <w:r>
              <w:rPr>
                <w:rFonts w:hint="eastAsia"/>
                <w:color w:val="auto"/>
                <w:sz w:val="24"/>
                <w:highlight w:val="none"/>
                <w:lang w:eastAsia="zh-CN"/>
              </w:rPr>
              <w:t>黑龙江省龙建路桥第二工程有限公司嘉荫分公司商品混凝土搅拌站建设项目</w:t>
            </w:r>
          </w:p>
          <w:p>
            <w:pPr>
              <w:spacing w:line="360" w:lineRule="auto"/>
              <w:ind w:firstLine="480" w:firstLineChars="200"/>
              <w:rPr>
                <w:rFonts w:hint="eastAsia"/>
                <w:color w:val="auto"/>
                <w:sz w:val="24"/>
                <w:highlight w:val="none"/>
                <w:lang w:eastAsia="zh-CN"/>
              </w:rPr>
            </w:pPr>
            <w:r>
              <w:rPr>
                <w:rFonts w:hint="eastAsia"/>
                <w:color w:val="auto"/>
                <w:sz w:val="24"/>
                <w:highlight w:val="none"/>
              </w:rPr>
              <w:t>建设单位：</w:t>
            </w:r>
            <w:r>
              <w:rPr>
                <w:rFonts w:hint="eastAsia"/>
                <w:color w:val="auto"/>
                <w:sz w:val="24"/>
                <w:highlight w:val="none"/>
                <w:lang w:eastAsia="zh-CN"/>
              </w:rPr>
              <w:t>黑龙江省龙建路桥第二工程有限公司嘉荫分公司</w:t>
            </w:r>
          </w:p>
          <w:p>
            <w:pPr>
              <w:spacing w:line="360" w:lineRule="auto"/>
              <w:ind w:firstLine="480" w:firstLineChars="200"/>
              <w:rPr>
                <w:rFonts w:hint="eastAsia" w:eastAsia="宋体"/>
                <w:color w:val="auto"/>
                <w:sz w:val="24"/>
                <w:highlight w:val="none"/>
                <w:lang w:val="en-US" w:eastAsia="zh-CN"/>
              </w:rPr>
            </w:pPr>
            <w:r>
              <w:rPr>
                <w:rFonts w:hint="eastAsia"/>
                <w:color w:val="auto"/>
                <w:sz w:val="24"/>
                <w:highlight w:val="none"/>
              </w:rPr>
              <w:t>建设性质：</w:t>
            </w:r>
            <w:r>
              <w:rPr>
                <w:rFonts w:hint="eastAsia"/>
                <w:color w:val="auto"/>
                <w:sz w:val="24"/>
                <w:highlight w:val="none"/>
                <w:lang w:val="en-US" w:eastAsia="zh-CN"/>
              </w:rPr>
              <w:t>新建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lang w:val="en-US" w:eastAsia="zh-CN"/>
              </w:rPr>
            </w:pPr>
            <w:r>
              <w:rPr>
                <w:rFonts w:hint="eastAsia" w:cs="Times New Roman"/>
                <w:color w:val="auto"/>
                <w:sz w:val="24"/>
                <w:szCs w:val="24"/>
                <w:highlight w:val="none"/>
                <w:lang w:val="en-US" w:eastAsia="zh-CN"/>
              </w:rPr>
              <w:t>项目投资：</w:t>
            </w:r>
            <w:r>
              <w:rPr>
                <w:rFonts w:hint="eastAsia" w:cs="Times New Roman"/>
                <w:color w:val="auto"/>
                <w:sz w:val="24"/>
                <w:highlight w:val="none"/>
                <w:lang w:val="en-US" w:eastAsia="zh-CN"/>
              </w:rPr>
              <w:t>108.15</w:t>
            </w:r>
            <w:r>
              <w:rPr>
                <w:rFonts w:hint="eastAsia"/>
                <w:color w:val="auto"/>
                <w:sz w:val="24"/>
                <w:highlight w:val="none"/>
                <w:lang w:val="en-US" w:eastAsia="zh-CN"/>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劳动定员：</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0</w:t>
            </w:r>
            <w:r>
              <w:rPr>
                <w:rFonts w:hint="eastAsia"/>
                <w:color w:val="auto"/>
                <w:sz w:val="24"/>
                <w:highlight w:val="none"/>
                <w:lang w:val="en-US" w:eastAsia="zh-CN"/>
              </w:rPr>
              <w:t>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highlight w:val="none"/>
                <w:lang w:val="en-US" w:eastAsia="zh-CN"/>
              </w:rPr>
            </w:pPr>
            <w:r>
              <w:rPr>
                <w:rFonts w:hint="eastAsia" w:ascii="Times New Roman" w:hAnsi="Times New Roman" w:cs="Times New Roman"/>
                <w:color w:val="auto"/>
                <w:sz w:val="24"/>
                <w:szCs w:val="24"/>
                <w:highlight w:val="none"/>
              </w:rPr>
              <w:t>生产班制：工作班制为</w:t>
            </w:r>
            <w:r>
              <w:rPr>
                <w:rFonts w:hint="eastAsia" w:cs="Times New Roman"/>
                <w:color w:val="auto"/>
                <w:sz w:val="24"/>
                <w:szCs w:val="24"/>
                <w:highlight w:val="none"/>
                <w:lang w:val="en-US" w:eastAsia="zh-CN"/>
              </w:rPr>
              <w:t>1</w:t>
            </w:r>
            <w:r>
              <w:rPr>
                <w:rFonts w:hint="eastAsia" w:ascii="Times New Roman" w:hAnsi="Times New Roman" w:cs="Times New Roman"/>
                <w:color w:val="auto"/>
                <w:sz w:val="24"/>
                <w:szCs w:val="24"/>
                <w:highlight w:val="none"/>
              </w:rPr>
              <w:t>班制，每班</w:t>
            </w:r>
            <w:r>
              <w:rPr>
                <w:rFonts w:hint="default"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0</w:t>
            </w:r>
            <w:r>
              <w:rPr>
                <w:rFonts w:hint="eastAsia" w:ascii="Times New Roman" w:hAnsi="Times New Roman" w:cs="Times New Roman"/>
                <w:color w:val="auto"/>
                <w:sz w:val="24"/>
                <w:szCs w:val="24"/>
                <w:highlight w:val="none"/>
              </w:rPr>
              <w:t>小时，年工作</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0</w:t>
            </w:r>
            <w:r>
              <w:rPr>
                <w:rFonts w:hint="eastAsia" w:ascii="Times New Roman" w:hAnsi="Times New Roman" w:cs="Times New Roman"/>
                <w:color w:val="auto"/>
                <w:sz w:val="24"/>
                <w:szCs w:val="24"/>
                <w:highlight w:val="none"/>
              </w:rPr>
              <w:t>天。</w:t>
            </w:r>
          </w:p>
          <w:p>
            <w:pPr>
              <w:keepLines w:val="0"/>
              <w:pageBreakBefore w:val="0"/>
              <w:widowControl w:val="0"/>
              <w:kinsoku/>
              <w:wordWrap/>
              <w:overflowPunct/>
              <w:topLinePunct w:val="0"/>
              <w:autoSpaceDE w:val="0"/>
              <w:autoSpaceDN w:val="0"/>
              <w:bidi w:val="0"/>
              <w:adjustRightInd/>
              <w:snapToGrid/>
              <w:spacing w:line="360" w:lineRule="auto"/>
              <w:ind w:firstLine="480" w:firstLineChars="200"/>
              <w:jc w:val="both"/>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建设地点：</w:t>
            </w:r>
            <w:r>
              <w:rPr>
                <w:color w:val="auto"/>
                <w:sz w:val="24"/>
                <w:highlight w:val="none"/>
              </w:rPr>
              <w:t>本项目位于</w:t>
            </w:r>
            <w:r>
              <w:rPr>
                <w:rFonts w:hint="eastAsia"/>
                <w:color w:val="auto"/>
                <w:sz w:val="24"/>
                <w:highlight w:val="none"/>
                <w:lang w:eastAsia="zh-CN"/>
              </w:rPr>
              <w:t>伊春市嘉荫县旧城村，厂界北侧为农田、东侧为村屯、南侧为G331、西侧为农田。</w:t>
            </w:r>
            <w:r>
              <w:rPr>
                <w:rFonts w:hint="eastAsia"/>
                <w:color w:val="auto"/>
                <w:sz w:val="24"/>
                <w:szCs w:val="32"/>
                <w:highlight w:val="none"/>
              </w:rPr>
              <w:t>项目地理位置及四周环境照片见附图</w:t>
            </w:r>
            <w:r>
              <w:rPr>
                <w:rFonts w:hint="default" w:ascii="Times New Roman" w:hAnsi="Times New Roman" w:cs="Times New Roman"/>
                <w:color w:val="auto"/>
                <w:sz w:val="24"/>
                <w:szCs w:val="32"/>
                <w:highlight w:val="none"/>
                <w:lang w:val="en-US" w:eastAsia="zh-CN"/>
              </w:rPr>
              <w:t>1</w:t>
            </w:r>
            <w:r>
              <w:rPr>
                <w:rFonts w:hint="eastAsia"/>
                <w:color w:val="auto"/>
                <w:sz w:val="24"/>
                <w:szCs w:val="32"/>
                <w:highlight w:val="none"/>
                <w:lang w:val="en-US" w:eastAsia="zh-CN"/>
              </w:rPr>
              <w:t>、附图</w:t>
            </w:r>
            <w:r>
              <w:rPr>
                <w:rFonts w:hint="default" w:ascii="Times New Roman" w:hAnsi="Times New Roman" w:cs="Times New Roman"/>
                <w:color w:val="auto"/>
                <w:sz w:val="24"/>
                <w:szCs w:val="32"/>
                <w:highlight w:val="none"/>
                <w:lang w:val="en-US" w:eastAsia="zh-CN"/>
              </w:rPr>
              <w:t>2</w:t>
            </w:r>
            <w:r>
              <w:rPr>
                <w:rFonts w:hint="eastAsia"/>
                <w:color w:val="auto"/>
                <w:sz w:val="24"/>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建设规模：本项目总占地面积</w:t>
            </w:r>
            <w:r>
              <w:rPr>
                <w:rFonts w:hint="eastAsia" w:cs="Times New Roman"/>
                <w:b w:val="0"/>
                <w:bCs/>
                <w:color w:val="auto"/>
                <w:kern w:val="2"/>
                <w:sz w:val="24"/>
                <w:szCs w:val="24"/>
                <w:highlight w:val="none"/>
                <w:lang w:val="en-US" w:eastAsia="zh-CN" w:bidi="ar-SA"/>
              </w:rPr>
              <w:t>7558.86</w:t>
            </w:r>
            <w:r>
              <w:rPr>
                <w:rFonts w:hint="default" w:ascii="Times New Roman" w:hAnsi="Times New Roman" w:eastAsia="宋体" w:cs="Times New Roman"/>
                <w:b w:val="0"/>
                <w:bCs/>
                <w:color w:val="auto"/>
                <w:kern w:val="2"/>
                <w:sz w:val="24"/>
                <w:szCs w:val="24"/>
                <w:highlight w:val="none"/>
                <w:lang w:val="en-US" w:eastAsia="zh-CN" w:bidi="ar-SA"/>
              </w:rPr>
              <w:t>m</w:t>
            </w:r>
            <w:r>
              <w:rPr>
                <w:rFonts w:hint="default" w:ascii="Times New Roman" w:hAnsi="Times New Roman" w:eastAsia="宋体" w:cs="Times New Roman"/>
                <w:b w:val="0"/>
                <w:bCs/>
                <w:color w:val="auto"/>
                <w:kern w:val="2"/>
                <w:sz w:val="24"/>
                <w:szCs w:val="24"/>
                <w:highlight w:val="none"/>
                <w:vertAlign w:val="superscript"/>
                <w:lang w:val="en-US" w:eastAsia="zh-CN" w:bidi="ar-SA"/>
              </w:rPr>
              <w:t>2</w:t>
            </w:r>
            <w:r>
              <w:rPr>
                <w:rFonts w:hint="default" w:ascii="Times New Roman" w:hAnsi="Times New Roman" w:eastAsia="宋体" w:cs="Times New Roman"/>
                <w:b w:val="0"/>
                <w:bCs/>
                <w:color w:val="auto"/>
                <w:kern w:val="2"/>
                <w:sz w:val="24"/>
                <w:szCs w:val="24"/>
                <w:highlight w:val="none"/>
                <w:lang w:val="en-US" w:eastAsia="zh-CN" w:bidi="ar-SA"/>
              </w:rPr>
              <w:t>，</w:t>
            </w:r>
            <w:r>
              <w:rPr>
                <w:rFonts w:hint="eastAsia" w:cs="Times New Roman"/>
                <w:b w:val="0"/>
                <w:bCs/>
                <w:color w:val="auto"/>
                <w:kern w:val="2"/>
                <w:sz w:val="24"/>
                <w:szCs w:val="24"/>
                <w:highlight w:val="none"/>
                <w:lang w:val="en-US" w:eastAsia="zh-CN" w:bidi="ar-SA"/>
              </w:rPr>
              <w:t>项目</w:t>
            </w:r>
            <w:r>
              <w:rPr>
                <w:rFonts w:hint="default" w:ascii="Times New Roman" w:hAnsi="Times New Roman" w:cs="Times New Roman"/>
                <w:color w:val="auto"/>
                <w:sz w:val="24"/>
                <w:szCs w:val="24"/>
                <w:highlight w:val="none"/>
              </w:rPr>
              <w:t>设有</w:t>
            </w:r>
            <w:r>
              <w:rPr>
                <w:rFonts w:hint="default" w:ascii="Times New Roman" w:hAnsi="Times New Roman" w:cs="Times New Roman"/>
                <w:color w:val="auto"/>
                <w:sz w:val="24"/>
                <w:szCs w:val="24"/>
                <w:highlight w:val="none"/>
                <w:lang w:val="en-US" w:eastAsia="zh-CN"/>
              </w:rPr>
              <w:t>全封闭混凝土搅拌站、</w:t>
            </w:r>
            <w:r>
              <w:rPr>
                <w:rFonts w:hint="eastAsia" w:cs="Times New Roman"/>
                <w:color w:val="auto"/>
                <w:sz w:val="24"/>
                <w:szCs w:val="24"/>
                <w:highlight w:val="none"/>
                <w:lang w:val="en-US" w:eastAsia="zh-CN"/>
              </w:rPr>
              <w:t>水泥</w:t>
            </w:r>
            <w:r>
              <w:rPr>
                <w:rFonts w:hint="default" w:ascii="Times New Roman" w:hAnsi="Times New Roman" w:cs="Times New Roman"/>
                <w:color w:val="auto"/>
                <w:sz w:val="24"/>
                <w:szCs w:val="24"/>
                <w:highlight w:val="none"/>
                <w:lang w:eastAsia="zh-CN"/>
              </w:rPr>
              <w:t>筒仓</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粉煤灰筒仓和</w:t>
            </w:r>
            <w:r>
              <w:rPr>
                <w:rFonts w:hint="default" w:ascii="Times New Roman" w:hAnsi="Times New Roman" w:cs="Times New Roman"/>
                <w:color w:val="auto"/>
                <w:sz w:val="24"/>
                <w:szCs w:val="24"/>
                <w:highlight w:val="none"/>
                <w:lang w:eastAsia="zh-CN"/>
              </w:rPr>
              <w:t>办公</w:t>
            </w:r>
            <w:r>
              <w:rPr>
                <w:rFonts w:hint="default" w:ascii="Times New Roman" w:hAnsi="Times New Roman" w:cs="Times New Roman"/>
                <w:color w:val="auto"/>
                <w:sz w:val="24"/>
                <w:szCs w:val="24"/>
                <w:highlight w:val="none"/>
              </w:rPr>
              <w:t>用房</w:t>
            </w:r>
            <w:r>
              <w:rPr>
                <w:rFonts w:hint="default" w:ascii="Times New Roman" w:hAnsi="Times New Roman" w:cs="Times New Roman"/>
                <w:color w:val="auto"/>
                <w:sz w:val="24"/>
                <w:szCs w:val="24"/>
                <w:highlight w:val="none"/>
                <w:lang w:eastAsia="zh-CN"/>
              </w:rPr>
              <w:t>等</w:t>
            </w:r>
            <w:r>
              <w:rPr>
                <w:rFonts w:hint="default" w:ascii="Times New Roman" w:hAnsi="Times New Roman" w:cs="Times New Roman"/>
                <w:color w:val="auto"/>
                <w:sz w:val="24"/>
                <w:szCs w:val="24"/>
                <w:highlight w:val="none"/>
              </w:rPr>
              <w:t>相关构筑物，且</w:t>
            </w:r>
            <w:r>
              <w:rPr>
                <w:rFonts w:hint="default" w:ascii="Times New Roman" w:hAnsi="Times New Roman" w:cs="Times New Roman"/>
                <w:color w:val="auto"/>
                <w:sz w:val="24"/>
                <w:szCs w:val="24"/>
                <w:highlight w:val="none"/>
                <w:lang w:eastAsia="zh-CN"/>
              </w:rPr>
              <w:t>配套建有相关附属设施；同时，工程</w:t>
            </w:r>
            <w:r>
              <w:rPr>
                <w:rFonts w:hint="default" w:ascii="Times New Roman" w:hAnsi="Times New Roman" w:cs="Times New Roman"/>
                <w:color w:val="auto"/>
                <w:sz w:val="24"/>
                <w:szCs w:val="24"/>
                <w:highlight w:val="none"/>
              </w:rPr>
              <w:t>建有</w:t>
            </w:r>
            <w:r>
              <w:rPr>
                <w:rFonts w:hint="default" w:ascii="Times New Roman" w:hAnsi="Times New Roman" w:cs="Times New Roman"/>
                <w:color w:val="auto"/>
                <w:sz w:val="24"/>
                <w:szCs w:val="24"/>
                <w:highlight w:val="none"/>
                <w:lang w:val="en-US" w:eastAsia="zh-CN"/>
              </w:rPr>
              <w:t>1条</w:t>
            </w:r>
            <w:r>
              <w:rPr>
                <w:rFonts w:hint="default" w:ascii="Times New Roman" w:hAnsi="Times New Roman" w:cs="Times New Roman"/>
                <w:color w:val="auto"/>
                <w:sz w:val="24"/>
                <w:szCs w:val="24"/>
                <w:highlight w:val="none"/>
              </w:rPr>
              <w:t>混凝土生产线</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eastAsia="zh-CN"/>
              </w:rPr>
              <w:t>生</w:t>
            </w:r>
            <w:r>
              <w:rPr>
                <w:rFonts w:hint="default" w:ascii="Times New Roman" w:hAnsi="Times New Roman" w:cs="Times New Roman"/>
                <w:color w:val="auto"/>
                <w:sz w:val="24"/>
                <w:szCs w:val="24"/>
                <w:highlight w:val="none"/>
              </w:rPr>
              <w:t>产</w:t>
            </w:r>
            <w:r>
              <w:rPr>
                <w:rFonts w:hint="eastAsia" w:ascii="Times New Roman" w:hAnsi="Times New Roman" w:cs="Times New Roman"/>
                <w:color w:val="auto"/>
                <w:sz w:val="24"/>
                <w:szCs w:val="24"/>
                <w:highlight w:val="none"/>
                <w:lang w:val="en-US" w:eastAsia="zh-CN"/>
              </w:rPr>
              <w:t>商品</w:t>
            </w:r>
            <w:r>
              <w:rPr>
                <w:rFonts w:hint="default" w:ascii="Times New Roman" w:hAnsi="Times New Roman" w:cs="Times New Roman"/>
                <w:color w:val="auto"/>
                <w:sz w:val="24"/>
                <w:szCs w:val="24"/>
                <w:highlight w:val="none"/>
              </w:rPr>
              <w:t>混凝土</w:t>
            </w:r>
            <w:r>
              <w:rPr>
                <w:rFonts w:hint="eastAsia" w:cs="Times New Roman"/>
                <w:color w:val="auto"/>
                <w:sz w:val="24"/>
                <w:szCs w:val="24"/>
                <w:highlight w:val="none"/>
                <w:lang w:val="en-US" w:eastAsia="zh-CN"/>
              </w:rPr>
              <w:t>1.5万</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pPr>
              <w:spacing w:line="360" w:lineRule="auto"/>
              <w:ind w:firstLine="482" w:firstLineChars="200"/>
              <w:rPr>
                <w:rFonts w:hint="default"/>
                <w:b/>
                <w:color w:val="auto"/>
                <w:sz w:val="24"/>
                <w:highlight w:val="none"/>
                <w:lang w:val="en-US" w:eastAsia="zh-CN"/>
              </w:rPr>
            </w:pPr>
            <w:r>
              <w:rPr>
                <w:rFonts w:hint="default" w:ascii="Times New Roman" w:hAnsi="Times New Roman" w:cs="Times New Roman"/>
                <w:b/>
                <w:color w:val="auto"/>
                <w:sz w:val="24"/>
                <w:highlight w:val="none"/>
                <w:lang w:val="en-US" w:eastAsia="zh-CN"/>
              </w:rPr>
              <w:t>2</w:t>
            </w:r>
            <w:r>
              <w:rPr>
                <w:rFonts w:hint="eastAsia"/>
                <w:b/>
                <w:color w:val="auto"/>
                <w:sz w:val="24"/>
                <w:highlight w:val="none"/>
                <w:lang w:val="en-US" w:eastAsia="zh-CN"/>
              </w:rPr>
              <w:t>、项目工程组成</w:t>
            </w:r>
          </w:p>
          <w:p>
            <w:pPr>
              <w:spacing w:line="360" w:lineRule="auto"/>
              <w:ind w:firstLine="480" w:firstLineChars="200"/>
              <w:rPr>
                <w:color w:val="auto"/>
                <w:highlight w:val="none"/>
              </w:rPr>
            </w:pPr>
            <w:r>
              <w:rPr>
                <w:rFonts w:hint="eastAsia"/>
                <w:color w:val="auto"/>
                <w:sz w:val="24"/>
                <w:highlight w:val="none"/>
              </w:rPr>
              <w:t>具体建设内容以及建设规模见表</w:t>
            </w:r>
            <w:r>
              <w:rPr>
                <w:rFonts w:hint="default" w:ascii="Times New Roman" w:hAnsi="Times New Roman" w:cs="Times New Roman"/>
                <w:color w:val="auto"/>
                <w:sz w:val="24"/>
                <w:highlight w:val="none"/>
              </w:rPr>
              <w:t>2</w:t>
            </w:r>
            <w:r>
              <w:rPr>
                <w:rFonts w:hint="eastAsia"/>
                <w:color w:val="auto"/>
                <w:sz w:val="24"/>
                <w:highlight w:val="none"/>
              </w:rPr>
              <w:t>-</w:t>
            </w:r>
            <w:r>
              <w:rPr>
                <w:rFonts w:hint="default" w:ascii="Times New Roman" w:hAnsi="Times New Roman" w:cs="Times New Roman"/>
                <w:color w:val="auto"/>
                <w:sz w:val="24"/>
                <w:highlight w:val="none"/>
              </w:rPr>
              <w:t>1</w:t>
            </w:r>
            <w:r>
              <w:rPr>
                <w:rFonts w:hint="eastAsia"/>
                <w:color w:val="auto"/>
                <w:sz w:val="24"/>
                <w:highlight w:val="none"/>
              </w:rPr>
              <w:t>。</w:t>
            </w:r>
          </w:p>
          <w:p>
            <w:pPr>
              <w:jc w:val="center"/>
              <w:textAlignment w:val="baseline"/>
              <w:rPr>
                <w:rFonts w:eastAsia="黑体"/>
                <w:color w:val="auto"/>
                <w:kern w:val="0"/>
                <w:sz w:val="24"/>
                <w:highlight w:val="none"/>
              </w:rPr>
            </w:pPr>
            <w:r>
              <w:rPr>
                <w:b/>
                <w:bCs/>
                <w:color w:val="auto"/>
                <w:kern w:val="0"/>
                <w:sz w:val="24"/>
                <w:highlight w:val="none"/>
              </w:rPr>
              <w:t>表</w:t>
            </w:r>
            <w:r>
              <w:rPr>
                <w:rFonts w:hint="default" w:ascii="Times New Roman" w:hAnsi="Times New Roman" w:cs="Times New Roman"/>
                <w:b/>
                <w:bCs/>
                <w:color w:val="auto"/>
                <w:kern w:val="0"/>
                <w:sz w:val="24"/>
                <w:highlight w:val="none"/>
              </w:rPr>
              <w:t>2</w:t>
            </w:r>
            <w:r>
              <w:rPr>
                <w:b/>
                <w:bCs/>
                <w:color w:val="auto"/>
                <w:kern w:val="0"/>
                <w:sz w:val="24"/>
                <w:highlight w:val="none"/>
              </w:rPr>
              <w:t>-</w:t>
            </w:r>
            <w:r>
              <w:rPr>
                <w:rFonts w:hint="default" w:ascii="Times New Roman" w:hAnsi="Times New Roman" w:cs="Times New Roman"/>
                <w:b/>
                <w:bCs/>
                <w:color w:val="auto"/>
                <w:kern w:val="0"/>
                <w:sz w:val="24"/>
                <w:highlight w:val="none"/>
              </w:rPr>
              <w:t>1</w:t>
            </w:r>
            <w:r>
              <w:rPr>
                <w:b/>
                <w:bCs/>
                <w:color w:val="auto"/>
                <w:kern w:val="0"/>
                <w:sz w:val="24"/>
                <w:highlight w:val="none"/>
              </w:rPr>
              <w:t xml:space="preserve"> 项目组成一览表</w:t>
            </w:r>
          </w:p>
          <w:tbl>
            <w:tblPr>
              <w:tblStyle w:val="32"/>
              <w:tblW w:w="8311" w:type="dxa"/>
              <w:tblInd w:w="-5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025"/>
              <w:gridCol w:w="5499"/>
              <w:gridCol w:w="11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 w:hRule="atLeast"/>
              </w:trPr>
              <w:tc>
                <w:tcPr>
                  <w:tcW w:w="1687" w:type="dxa"/>
                  <w:gridSpan w:val="2"/>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建设内容</w:t>
                  </w:r>
                </w:p>
              </w:tc>
              <w:tc>
                <w:tcPr>
                  <w:tcW w:w="5499"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建设规模及内容</w:t>
                  </w:r>
                </w:p>
              </w:tc>
              <w:tc>
                <w:tcPr>
                  <w:tcW w:w="1125"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tcBorders>
                    <w:top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主体</w:t>
                  </w:r>
                </w:p>
                <w:p>
                  <w:pPr>
                    <w:adjustRightInd w:val="0"/>
                    <w:snapToGrid w:val="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工程</w:t>
                  </w:r>
                </w:p>
              </w:tc>
              <w:tc>
                <w:tcPr>
                  <w:tcW w:w="1025" w:type="dxa"/>
                  <w:tcBorders>
                    <w:bottom w:val="single" w:color="auto" w:sz="4" w:space="0"/>
                  </w:tcBorders>
                  <w:noWrap w:val="0"/>
                  <w:vAlign w:val="center"/>
                </w:tcPr>
                <w:p>
                  <w:pPr>
                    <w:pStyle w:val="18"/>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搅拌站</w:t>
                  </w:r>
                </w:p>
              </w:tc>
              <w:tc>
                <w:tcPr>
                  <w:tcW w:w="5499" w:type="dxa"/>
                  <w:tcBorders>
                    <w:bottom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Cs w:val="21"/>
                    </w:rPr>
                    <w:t>建1条砼搅拌生产线，包括输送系统、计量系统、搅拌系统、自动控制室等，搅拌站主体为全封闭，占地面积</w:t>
                  </w:r>
                  <w:r>
                    <w:rPr>
                      <w:rFonts w:hint="eastAsia" w:cs="Times New Roman"/>
                      <w:color w:val="auto"/>
                      <w:szCs w:val="21"/>
                      <w:lang w:val="en-US" w:eastAsia="zh-CN"/>
                    </w:rPr>
                    <w:t>7558.86</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，年产商品砼</w:t>
                  </w:r>
                  <w:r>
                    <w:rPr>
                      <w:rFonts w:hint="eastAsia" w:cs="Times New Roman"/>
                      <w:color w:val="auto"/>
                      <w:szCs w:val="21"/>
                      <w:lang w:val="en-US" w:eastAsia="zh-CN"/>
                    </w:rPr>
                    <w:t>1.5</w:t>
                  </w:r>
                  <w:r>
                    <w:rPr>
                      <w:rFonts w:hint="default" w:ascii="Times New Roman" w:hAnsi="Times New Roman" w:eastAsia="宋体" w:cs="Times New Roman"/>
                      <w:color w:val="auto"/>
                      <w:szCs w:val="21"/>
                    </w:rPr>
                    <w:t>万m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r>
                    <w:rPr>
                      <w:rFonts w:hint="eastAsia" w:cs="Times New Roman"/>
                      <w:color w:val="auto"/>
                      <w:szCs w:val="21"/>
                      <w:lang w:val="en-US" w:eastAsia="zh-CN"/>
                    </w:rPr>
                    <w:t>3.75</w:t>
                  </w:r>
                  <w:r>
                    <w:rPr>
                      <w:rFonts w:hint="default" w:ascii="Times New Roman" w:hAnsi="Times New Roman" w:eastAsia="宋体" w:cs="Times New Roman"/>
                      <w:color w:val="auto"/>
                      <w:szCs w:val="21"/>
                    </w:rPr>
                    <w:t>万吨）</w:t>
                  </w:r>
                </w:p>
              </w:tc>
              <w:tc>
                <w:tcPr>
                  <w:tcW w:w="1125" w:type="dxa"/>
                  <w:noWrap w:val="0"/>
                  <w:vAlign w:val="center"/>
                </w:tcPr>
                <w:p>
                  <w:pPr>
                    <w:adjustRightInd w:val="0"/>
                    <w:snapToGrid w:val="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restart"/>
                  <w:tcBorders>
                    <w:top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储运</w:t>
                  </w:r>
                </w:p>
                <w:p>
                  <w:pPr>
                    <w:adjustRightInd w:val="0"/>
                    <w:snapToGrid w:val="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工程</w:t>
                  </w:r>
                </w:p>
              </w:tc>
              <w:tc>
                <w:tcPr>
                  <w:tcW w:w="1025" w:type="dxa"/>
                  <w:vMerge w:val="restart"/>
                  <w:noWrap w:val="0"/>
                  <w:vAlign w:val="center"/>
                </w:tcPr>
                <w:p>
                  <w:pPr>
                    <w:pStyle w:val="18"/>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rPr>
                    <w:t>原料堆场</w:t>
                  </w:r>
                </w:p>
              </w:tc>
              <w:tc>
                <w:tcPr>
                  <w:tcW w:w="5499" w:type="dxa"/>
                  <w:tcBorders>
                    <w:bottom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olor w:val="auto"/>
                      <w:szCs w:val="21"/>
                    </w:rPr>
                    <w:t>建立</w:t>
                  </w:r>
                  <w:r>
                    <w:rPr>
                      <w:rFonts w:hint="eastAsia"/>
                      <w:color w:val="auto"/>
                      <w:szCs w:val="21"/>
                      <w:lang w:eastAsia="zh-CN"/>
                    </w:rPr>
                    <w:t>中砂</w:t>
                  </w:r>
                  <w:r>
                    <w:rPr>
                      <w:color w:val="auto"/>
                      <w:szCs w:val="21"/>
                    </w:rPr>
                    <w:t>堆场</w:t>
                  </w:r>
                  <w:r>
                    <w:rPr>
                      <w:rFonts w:hint="default" w:ascii="Times New Roman" w:hAnsi="Times New Roman" w:cs="Times New Roman"/>
                      <w:color w:val="auto"/>
                      <w:szCs w:val="21"/>
                    </w:rPr>
                    <w:t>1</w:t>
                  </w:r>
                  <w:r>
                    <w:rPr>
                      <w:color w:val="auto"/>
                      <w:szCs w:val="21"/>
                    </w:rPr>
                    <w:t>座</w:t>
                  </w:r>
                  <w:r>
                    <w:rPr>
                      <w:rFonts w:hint="eastAsia"/>
                      <w:color w:val="auto"/>
                      <w:szCs w:val="21"/>
                    </w:rPr>
                    <w:t>，半封闭结构，堆放</w:t>
                  </w:r>
                  <w:r>
                    <w:rPr>
                      <w:color w:val="auto"/>
                      <w:szCs w:val="21"/>
                    </w:rPr>
                    <w:t>砂，水泥地面硬化，占地面积为</w:t>
                  </w:r>
                  <w:r>
                    <w:rPr>
                      <w:rFonts w:hint="eastAsia"/>
                      <w:color w:val="auto"/>
                      <w:szCs w:val="21"/>
                      <w:lang w:val="en-US" w:eastAsia="zh-CN"/>
                    </w:rPr>
                    <w:t>20</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2</w:t>
                  </w:r>
                </w:p>
              </w:tc>
              <w:tc>
                <w:tcPr>
                  <w:tcW w:w="1125"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red"/>
                      <w:lang w:eastAsia="zh-CN"/>
                    </w:rPr>
                  </w:pPr>
                  <w:r>
                    <w:rPr>
                      <w:rFonts w:hint="eastAsia" w:cs="Times New Roman"/>
                      <w:b w:val="0"/>
                      <w:bCs w:val="0"/>
                      <w:color w:val="auto"/>
                      <w:sz w:val="21"/>
                      <w:szCs w:val="21"/>
                      <w:highlight w:val="none"/>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eastAsia="zh-CN"/>
                    </w:rPr>
                  </w:pPr>
                </w:p>
              </w:tc>
              <w:tc>
                <w:tcPr>
                  <w:tcW w:w="1025" w:type="dxa"/>
                  <w:vMerge w:val="continue"/>
                  <w:tcBorders>
                    <w:bottom w:val="single" w:color="auto" w:sz="4" w:space="0"/>
                  </w:tcBorders>
                  <w:noWrap w:val="0"/>
                  <w:vAlign w:val="center"/>
                </w:tcPr>
                <w:p>
                  <w:pPr>
                    <w:pStyle w:val="18"/>
                    <w:adjustRightInd w:val="0"/>
                    <w:snapToGrid w:val="0"/>
                    <w:spacing w:before="0" w:beforeAutospacing="0" w:after="0" w:afterAutospacing="0"/>
                    <w:jc w:val="center"/>
                    <w:rPr>
                      <w:rFonts w:hint="default" w:ascii="Times New Roman" w:hAnsi="Times New Roman" w:eastAsia="宋体" w:cs="Times New Roman"/>
                      <w:color w:val="auto"/>
                      <w:sz w:val="21"/>
                      <w:szCs w:val="21"/>
                    </w:rPr>
                  </w:pPr>
                </w:p>
              </w:tc>
              <w:tc>
                <w:tcPr>
                  <w:tcW w:w="5499" w:type="dxa"/>
                  <w:tcBorders>
                    <w:bottom w:val="single" w:color="auto" w:sz="4" w:space="0"/>
                  </w:tcBorders>
                  <w:noWrap w:val="0"/>
                  <w:vAlign w:val="center"/>
                </w:tcPr>
                <w:p>
                  <w:pPr>
                    <w:adjustRightInd w:val="0"/>
                    <w:snapToGrid w:val="0"/>
                    <w:jc w:val="center"/>
                    <w:rPr>
                      <w:rFonts w:hint="eastAsia"/>
                      <w:color w:val="auto"/>
                      <w:szCs w:val="21"/>
                    </w:rPr>
                  </w:pPr>
                  <w:r>
                    <w:rPr>
                      <w:rFonts w:hint="eastAsia"/>
                      <w:color w:val="auto"/>
                      <w:szCs w:val="21"/>
                    </w:rPr>
                    <w:t>建立</w:t>
                  </w:r>
                  <w:r>
                    <w:rPr>
                      <w:rFonts w:hint="eastAsia"/>
                      <w:color w:val="auto"/>
                      <w:szCs w:val="21"/>
                      <w:lang w:eastAsia="zh-CN"/>
                    </w:rPr>
                    <w:t>碎石</w:t>
                  </w:r>
                  <w:r>
                    <w:rPr>
                      <w:color w:val="auto"/>
                      <w:szCs w:val="21"/>
                    </w:rPr>
                    <w:t>堆场</w:t>
                  </w:r>
                  <w:r>
                    <w:rPr>
                      <w:rFonts w:hint="default" w:ascii="Times New Roman" w:hAnsi="Times New Roman" w:cs="Times New Roman"/>
                      <w:color w:val="auto"/>
                      <w:szCs w:val="21"/>
                    </w:rPr>
                    <w:t>1</w:t>
                  </w:r>
                  <w:r>
                    <w:rPr>
                      <w:color w:val="auto"/>
                      <w:szCs w:val="21"/>
                    </w:rPr>
                    <w:t>座</w:t>
                  </w:r>
                  <w:r>
                    <w:rPr>
                      <w:rFonts w:hint="eastAsia"/>
                      <w:color w:val="auto"/>
                      <w:szCs w:val="21"/>
                    </w:rPr>
                    <w:t>，半封闭结构，堆放</w:t>
                  </w:r>
                  <w:r>
                    <w:rPr>
                      <w:color w:val="auto"/>
                      <w:szCs w:val="21"/>
                    </w:rPr>
                    <w:t>碎石，水泥地面硬化，占地面积为</w:t>
                  </w:r>
                  <w:r>
                    <w:rPr>
                      <w:rFonts w:hint="default" w:ascii="Times New Roman" w:hAnsi="Times New Roman" w:cs="Times New Roman"/>
                      <w:color w:val="auto"/>
                      <w:szCs w:val="21"/>
                      <w:lang w:val="en-US" w:eastAsia="zh-CN"/>
                    </w:rPr>
                    <w:t>1</w:t>
                  </w:r>
                  <w:r>
                    <w:rPr>
                      <w:rFonts w:hint="eastAsia" w:cs="Times New Roman"/>
                      <w:color w:val="auto"/>
                      <w:szCs w:val="21"/>
                      <w:lang w:val="en-US" w:eastAsia="zh-CN"/>
                    </w:rPr>
                    <w:t>0</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2</w:t>
                  </w:r>
                </w:p>
              </w:tc>
              <w:tc>
                <w:tcPr>
                  <w:tcW w:w="1125" w:type="dxa"/>
                  <w:noWrap w:val="0"/>
                  <w:vAlign w:val="center"/>
                </w:tcPr>
                <w:p>
                  <w:pPr>
                    <w:adjustRightInd w:val="0"/>
                    <w:snapToGrid w:val="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eastAsia="zh-CN"/>
                    </w:rPr>
                  </w:pPr>
                </w:p>
              </w:tc>
              <w:tc>
                <w:tcPr>
                  <w:tcW w:w="1025" w:type="dxa"/>
                  <w:tcBorders>
                    <w:bottom w:val="single" w:color="auto" w:sz="4" w:space="0"/>
                  </w:tcBorders>
                  <w:noWrap w:val="0"/>
                  <w:vAlign w:val="center"/>
                </w:tcPr>
                <w:p>
                  <w:pPr>
                    <w:pStyle w:val="18"/>
                    <w:adjustRightInd w:val="0"/>
                    <w:snapToGrid w:val="0"/>
                    <w:spacing w:before="0" w:beforeAutospacing="0" w:after="0" w:afterAutospacing="0"/>
                    <w:jc w:val="center"/>
                    <w:rPr>
                      <w:rFonts w:hint="default"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lang w:eastAsia="zh-CN"/>
                    </w:rPr>
                    <w:t>水泥筒仓</w:t>
                  </w:r>
                </w:p>
              </w:tc>
              <w:tc>
                <w:tcPr>
                  <w:tcW w:w="5499" w:type="dxa"/>
                  <w:tcBorders>
                    <w:bottom w:val="single" w:color="auto" w:sz="4" w:space="0"/>
                  </w:tcBorders>
                  <w:noWrap w:val="0"/>
                  <w:vAlign w:val="center"/>
                </w:tcPr>
                <w:p>
                  <w:pPr>
                    <w:adjustRightInd w:val="0"/>
                    <w:snapToGrid w:val="0"/>
                    <w:jc w:val="center"/>
                    <w:rPr>
                      <w:rFonts w:hint="eastAsia" w:eastAsia="宋体" w:cs="Times New Roman"/>
                      <w:b w:val="0"/>
                      <w:bCs w:val="0"/>
                      <w:color w:val="auto"/>
                      <w:sz w:val="21"/>
                      <w:szCs w:val="21"/>
                      <w:highlight w:val="none"/>
                      <w:lang w:val="en-US" w:eastAsia="zh-CN"/>
                    </w:rPr>
                  </w:pPr>
                  <w:r>
                    <w:rPr>
                      <w:rFonts w:hint="eastAsia"/>
                      <w:color w:val="auto"/>
                      <w:szCs w:val="21"/>
                    </w:rPr>
                    <w:t>建立</w:t>
                  </w:r>
                  <w:r>
                    <w:rPr>
                      <w:rFonts w:hint="eastAsia"/>
                      <w:color w:val="auto"/>
                      <w:szCs w:val="21"/>
                      <w:lang w:val="en-US" w:eastAsia="zh-CN"/>
                    </w:rPr>
                    <w:t>1</w:t>
                  </w:r>
                  <w:r>
                    <w:rPr>
                      <w:color w:val="auto"/>
                      <w:szCs w:val="21"/>
                    </w:rPr>
                    <w:t>个水泥筒仓</w:t>
                  </w:r>
                  <w:r>
                    <w:rPr>
                      <w:rFonts w:hint="eastAsia"/>
                      <w:color w:val="auto"/>
                      <w:szCs w:val="21"/>
                    </w:rPr>
                    <w:t>，</w:t>
                  </w:r>
                  <w:r>
                    <w:rPr>
                      <w:rFonts w:hint="eastAsia"/>
                      <w:color w:val="auto"/>
                      <w:szCs w:val="21"/>
                      <w:lang w:eastAsia="zh-CN"/>
                    </w:rPr>
                    <w:t>高度</w:t>
                  </w:r>
                  <w:r>
                    <w:rPr>
                      <w:rFonts w:hint="default" w:ascii="Times New Roman" w:hAnsi="Times New Roman" w:cs="Times New Roman"/>
                      <w:color w:val="auto"/>
                      <w:szCs w:val="21"/>
                      <w:lang w:val="en-US" w:eastAsia="zh-CN"/>
                    </w:rPr>
                    <w:t>14</w:t>
                  </w:r>
                  <w:r>
                    <w:rPr>
                      <w:rFonts w:hint="eastAsia"/>
                      <w:color w:val="auto"/>
                      <w:szCs w:val="21"/>
                      <w:lang w:val="en-US" w:eastAsia="zh-CN"/>
                    </w:rPr>
                    <w:t>.</w:t>
                  </w:r>
                  <w:r>
                    <w:rPr>
                      <w:rFonts w:hint="default" w:ascii="Times New Roman" w:hAnsi="Times New Roman" w:cs="Times New Roman"/>
                      <w:color w:val="auto"/>
                      <w:szCs w:val="21"/>
                      <w:lang w:val="en-US" w:eastAsia="zh-CN"/>
                    </w:rPr>
                    <w:t>9m</w:t>
                  </w:r>
                  <w:r>
                    <w:rPr>
                      <w:rFonts w:hint="eastAsia"/>
                      <w:color w:val="auto"/>
                      <w:szCs w:val="21"/>
                      <w:lang w:val="en-US" w:eastAsia="zh-CN"/>
                    </w:rPr>
                    <w:t>，直径</w:t>
                  </w:r>
                  <w:r>
                    <w:rPr>
                      <w:rFonts w:hint="default" w:ascii="Times New Roman" w:hAnsi="Times New Roman" w:cs="Times New Roman"/>
                      <w:color w:val="auto"/>
                      <w:szCs w:val="21"/>
                      <w:lang w:val="en-US" w:eastAsia="zh-CN"/>
                    </w:rPr>
                    <w:t>4</w:t>
                  </w:r>
                  <w:r>
                    <w:rPr>
                      <w:rFonts w:hint="eastAsia"/>
                      <w:color w:val="auto"/>
                      <w:szCs w:val="21"/>
                      <w:lang w:val="en-US" w:eastAsia="zh-CN"/>
                    </w:rPr>
                    <w:t>.</w:t>
                  </w:r>
                  <w:r>
                    <w:rPr>
                      <w:rFonts w:hint="default" w:ascii="Times New Roman" w:hAnsi="Times New Roman" w:cs="Times New Roman"/>
                      <w:color w:val="auto"/>
                      <w:szCs w:val="21"/>
                      <w:lang w:val="en-US" w:eastAsia="zh-CN"/>
                    </w:rPr>
                    <w:t>5m</w:t>
                  </w:r>
                  <w:r>
                    <w:rPr>
                      <w:rFonts w:hint="eastAsia"/>
                      <w:color w:val="auto"/>
                      <w:szCs w:val="21"/>
                      <w:lang w:val="en-US" w:eastAsia="zh-CN"/>
                    </w:rPr>
                    <w:t>，</w:t>
                  </w:r>
                  <w:r>
                    <w:rPr>
                      <w:color w:val="auto"/>
                      <w:szCs w:val="21"/>
                    </w:rPr>
                    <w:t>仓容均为</w:t>
                  </w:r>
                  <w:r>
                    <w:rPr>
                      <w:rFonts w:hint="default" w:ascii="Times New Roman" w:hAnsi="Times New Roman" w:cs="Times New Roman"/>
                      <w:color w:val="auto"/>
                      <w:szCs w:val="21"/>
                    </w:rPr>
                    <w:t>300t</w:t>
                  </w:r>
                </w:p>
              </w:tc>
              <w:tc>
                <w:tcPr>
                  <w:tcW w:w="1125" w:type="dxa"/>
                  <w:noWrap w:val="0"/>
                  <w:vAlign w:val="center"/>
                </w:tcPr>
                <w:p>
                  <w:pPr>
                    <w:adjustRightInd w:val="0"/>
                    <w:snapToGrid w:val="0"/>
                    <w:jc w:val="center"/>
                    <w:rPr>
                      <w:rFonts w:hint="eastAsia" w:cs="Times New Roman"/>
                      <w:b w:val="0"/>
                      <w:bCs w:val="0"/>
                      <w:color w:val="auto"/>
                      <w:sz w:val="21"/>
                      <w:szCs w:val="21"/>
                      <w:highlight w:val="red"/>
                      <w:lang w:val="en-US" w:eastAsia="zh-CN"/>
                    </w:rPr>
                  </w:pPr>
                  <w:r>
                    <w:rPr>
                      <w:rFonts w:hint="eastAsia" w:cs="Times New Roman"/>
                      <w:b w:val="0"/>
                      <w:bCs w:val="0"/>
                      <w:color w:val="auto"/>
                      <w:sz w:val="21"/>
                      <w:szCs w:val="21"/>
                      <w:highlight w:val="none"/>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eastAsia="zh-CN"/>
                    </w:rPr>
                  </w:pPr>
                </w:p>
              </w:tc>
              <w:tc>
                <w:tcPr>
                  <w:tcW w:w="1025" w:type="dxa"/>
                  <w:tcBorders>
                    <w:bottom w:val="single" w:color="auto" w:sz="4" w:space="0"/>
                  </w:tcBorders>
                  <w:noWrap w:val="0"/>
                  <w:vAlign w:val="center"/>
                </w:tcPr>
                <w:p>
                  <w:pPr>
                    <w:pStyle w:val="18"/>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lang w:eastAsia="zh-CN"/>
                    </w:rPr>
                    <w:t>粉煤灰</w:t>
                  </w:r>
                  <w:r>
                    <w:rPr>
                      <w:rFonts w:hint="default" w:ascii="Times New Roman" w:hAnsi="Times New Roman" w:eastAsia="宋体" w:cs="Times New Roman"/>
                      <w:color w:val="auto"/>
                      <w:sz w:val="21"/>
                      <w:szCs w:val="21"/>
                    </w:rPr>
                    <w:t>筒仓</w:t>
                  </w:r>
                </w:p>
              </w:tc>
              <w:tc>
                <w:tcPr>
                  <w:tcW w:w="5499" w:type="dxa"/>
                  <w:tcBorders>
                    <w:bottom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olor w:val="auto"/>
                      <w:szCs w:val="21"/>
                    </w:rPr>
                    <w:t>建立</w:t>
                  </w:r>
                  <w:r>
                    <w:rPr>
                      <w:rFonts w:hint="default" w:ascii="Times New Roman" w:hAnsi="Times New Roman" w:cs="Times New Roman"/>
                      <w:color w:val="auto"/>
                      <w:szCs w:val="21"/>
                    </w:rPr>
                    <w:t>1</w:t>
                  </w:r>
                  <w:r>
                    <w:rPr>
                      <w:color w:val="auto"/>
                      <w:szCs w:val="21"/>
                    </w:rPr>
                    <w:t>个粉煤灰筒仓，</w:t>
                  </w:r>
                  <w:r>
                    <w:rPr>
                      <w:rFonts w:hint="eastAsia"/>
                      <w:color w:val="auto"/>
                      <w:szCs w:val="21"/>
                      <w:lang w:eastAsia="zh-CN"/>
                    </w:rPr>
                    <w:t>高度</w:t>
                  </w:r>
                  <w:r>
                    <w:rPr>
                      <w:rFonts w:hint="default" w:ascii="Times New Roman" w:hAnsi="Times New Roman" w:cs="Times New Roman"/>
                      <w:color w:val="auto"/>
                      <w:szCs w:val="21"/>
                      <w:lang w:val="en-US" w:eastAsia="zh-CN"/>
                    </w:rPr>
                    <w:t>14</w:t>
                  </w:r>
                  <w:r>
                    <w:rPr>
                      <w:rFonts w:hint="eastAsia"/>
                      <w:color w:val="auto"/>
                      <w:szCs w:val="21"/>
                      <w:lang w:val="en-US" w:eastAsia="zh-CN"/>
                    </w:rPr>
                    <w:t>.</w:t>
                  </w:r>
                  <w:r>
                    <w:rPr>
                      <w:rFonts w:hint="default" w:ascii="Times New Roman" w:hAnsi="Times New Roman" w:cs="Times New Roman"/>
                      <w:color w:val="auto"/>
                      <w:szCs w:val="21"/>
                      <w:lang w:val="en-US" w:eastAsia="zh-CN"/>
                    </w:rPr>
                    <w:t>9m</w:t>
                  </w:r>
                  <w:r>
                    <w:rPr>
                      <w:rFonts w:hint="eastAsia"/>
                      <w:color w:val="auto"/>
                      <w:szCs w:val="21"/>
                      <w:lang w:val="en-US" w:eastAsia="zh-CN"/>
                    </w:rPr>
                    <w:t>，直径1.</w:t>
                  </w:r>
                  <w:r>
                    <w:rPr>
                      <w:rFonts w:hint="default" w:ascii="Times New Roman" w:hAnsi="Times New Roman" w:cs="Times New Roman"/>
                      <w:color w:val="auto"/>
                      <w:szCs w:val="21"/>
                      <w:lang w:val="en-US" w:eastAsia="zh-CN"/>
                    </w:rPr>
                    <w:t>5m</w:t>
                  </w:r>
                  <w:r>
                    <w:rPr>
                      <w:rFonts w:hint="eastAsia"/>
                      <w:color w:val="auto"/>
                      <w:szCs w:val="21"/>
                      <w:lang w:val="en-US" w:eastAsia="zh-CN"/>
                    </w:rPr>
                    <w:t>，</w:t>
                  </w:r>
                  <w:r>
                    <w:rPr>
                      <w:color w:val="auto"/>
                      <w:szCs w:val="21"/>
                    </w:rPr>
                    <w:t>仓容为</w:t>
                  </w:r>
                  <w:r>
                    <w:rPr>
                      <w:rFonts w:hint="eastAsia"/>
                      <w:color w:val="auto"/>
                      <w:szCs w:val="21"/>
                      <w:lang w:val="en-US" w:eastAsia="zh-CN"/>
                    </w:rPr>
                    <w:t>100</w:t>
                  </w:r>
                  <w:r>
                    <w:rPr>
                      <w:rFonts w:hint="default" w:ascii="Times New Roman" w:hAnsi="Times New Roman" w:cs="Times New Roman"/>
                      <w:color w:val="auto"/>
                      <w:szCs w:val="21"/>
                    </w:rPr>
                    <w:t>t</w:t>
                  </w:r>
                </w:p>
              </w:tc>
              <w:tc>
                <w:tcPr>
                  <w:tcW w:w="1125" w:type="dxa"/>
                  <w:noWrap w:val="0"/>
                  <w:vAlign w:val="center"/>
                </w:tcPr>
                <w:p>
                  <w:pPr>
                    <w:spacing w:before="0" w:after="0"/>
                    <w:ind w:right="0" w:rightChars="0" w:firstLine="0" w:firstLineChars="0"/>
                    <w:jc w:val="center"/>
                    <w:rPr>
                      <w:rFonts w:hint="default" w:ascii="Times New Roman" w:hAnsi="Times New Roman" w:eastAsia="宋体" w:cs="Times New Roman"/>
                      <w:b w:val="0"/>
                      <w:bCs w:val="0"/>
                      <w:color w:val="auto"/>
                      <w:sz w:val="21"/>
                      <w:szCs w:val="21"/>
                      <w:highlight w:val="red"/>
                      <w:lang w:val="en-US" w:eastAsia="zh-CN"/>
                    </w:rPr>
                  </w:pPr>
                  <w:r>
                    <w:rPr>
                      <w:rFonts w:hint="eastAsia" w:cs="Times New Roman"/>
                      <w:b w:val="0"/>
                      <w:bCs w:val="0"/>
                      <w:color w:val="auto"/>
                      <w:sz w:val="21"/>
                      <w:szCs w:val="21"/>
                      <w:highlight w:val="none"/>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eastAsia="zh-CN"/>
                    </w:rPr>
                  </w:pPr>
                </w:p>
              </w:tc>
              <w:tc>
                <w:tcPr>
                  <w:tcW w:w="1025" w:type="dxa"/>
                  <w:tcBorders>
                    <w:bottom w:val="single" w:color="auto" w:sz="4" w:space="0"/>
                  </w:tcBorders>
                  <w:noWrap w:val="0"/>
                  <w:vAlign w:val="center"/>
                </w:tcPr>
                <w:p>
                  <w:pPr>
                    <w:pStyle w:val="18"/>
                    <w:adjustRightInd w:val="0"/>
                    <w:snapToGrid w:val="0"/>
                    <w:spacing w:before="0" w:beforeAutospacing="0" w:after="0" w:afterAutospacing="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外加剂</w:t>
                  </w:r>
                </w:p>
                <w:p>
                  <w:pPr>
                    <w:pStyle w:val="18"/>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lang w:eastAsia="zh-CN"/>
                    </w:rPr>
                    <w:t>储罐</w:t>
                  </w:r>
                </w:p>
              </w:tc>
              <w:tc>
                <w:tcPr>
                  <w:tcW w:w="5499" w:type="dxa"/>
                  <w:tcBorders>
                    <w:bottom w:val="single" w:color="auto" w:sz="4" w:space="0"/>
                  </w:tcBorders>
                  <w:noWrap w:val="0"/>
                  <w:vAlign w:val="center"/>
                </w:tcPr>
                <w:p>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olor w:val="auto"/>
                      <w:szCs w:val="21"/>
                    </w:rPr>
                    <w:t>搅拌站自带外加剂罐</w:t>
                  </w:r>
                  <w:r>
                    <w:rPr>
                      <w:rFonts w:hint="default" w:ascii="Times New Roman" w:hAnsi="Times New Roman" w:cs="Times New Roman"/>
                      <w:color w:val="auto"/>
                      <w:szCs w:val="21"/>
                    </w:rPr>
                    <w:t>1</w:t>
                  </w:r>
                  <w:r>
                    <w:rPr>
                      <w:color w:val="auto"/>
                      <w:szCs w:val="21"/>
                    </w:rPr>
                    <w:t>个，</w:t>
                  </w:r>
                  <w:r>
                    <w:rPr>
                      <w:rFonts w:hint="eastAsia"/>
                      <w:color w:val="auto"/>
                      <w:szCs w:val="21"/>
                    </w:rPr>
                    <w:t>容积</w:t>
                  </w:r>
                  <w:r>
                    <w:rPr>
                      <w:color w:val="auto"/>
                      <w:szCs w:val="21"/>
                    </w:rPr>
                    <w:t>为</w:t>
                  </w:r>
                  <w:r>
                    <w:rPr>
                      <w:rFonts w:hint="default" w:ascii="Times New Roman" w:hAnsi="Times New Roman" w:cs="Times New Roman"/>
                      <w:color w:val="auto"/>
                      <w:szCs w:val="21"/>
                    </w:rPr>
                    <w:t>1t</w:t>
                  </w:r>
                </w:p>
              </w:tc>
              <w:tc>
                <w:tcPr>
                  <w:tcW w:w="1125" w:type="dxa"/>
                  <w:noWrap w:val="0"/>
                  <w:vAlign w:val="center"/>
                </w:tcPr>
                <w:p>
                  <w:pPr>
                    <w:spacing w:before="0" w:after="0"/>
                    <w:ind w:right="0" w:rightChars="0" w:firstLine="0" w:firstLineChars="0"/>
                    <w:jc w:val="center"/>
                    <w:rPr>
                      <w:rFonts w:hint="default" w:ascii="Times New Roman" w:hAnsi="Times New Roman" w:eastAsia="宋体" w:cs="Times New Roman"/>
                      <w:b w:val="0"/>
                      <w:bCs w:val="0"/>
                      <w:color w:val="auto"/>
                      <w:kern w:val="2"/>
                      <w:sz w:val="21"/>
                      <w:szCs w:val="21"/>
                      <w:highlight w:val="red"/>
                      <w:lang w:val="en-US" w:eastAsia="zh-CN" w:bidi="ar-SA"/>
                    </w:rPr>
                  </w:pPr>
                  <w:r>
                    <w:rPr>
                      <w:rFonts w:hint="eastAsia" w:cs="Times New Roman"/>
                      <w:b w:val="0"/>
                      <w:bCs w:val="0"/>
                      <w:color w:val="auto"/>
                      <w:sz w:val="21"/>
                      <w:szCs w:val="21"/>
                      <w:highlight w:val="none"/>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eastAsia="zh-CN"/>
                    </w:rPr>
                  </w:pPr>
                </w:p>
              </w:tc>
              <w:tc>
                <w:tcPr>
                  <w:tcW w:w="1025" w:type="dxa"/>
                  <w:tcBorders>
                    <w:bottom w:val="single" w:color="auto" w:sz="4" w:space="0"/>
                  </w:tcBorders>
                  <w:noWrap w:val="0"/>
                  <w:vAlign w:val="center"/>
                </w:tcPr>
                <w:p>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沉淀池</w:t>
                  </w:r>
                </w:p>
              </w:tc>
              <w:tc>
                <w:tcPr>
                  <w:tcW w:w="5499" w:type="dxa"/>
                  <w:tcBorders>
                    <w:bottom w:val="single" w:color="auto" w:sz="4" w:space="0"/>
                  </w:tcBorders>
                  <w:noWrap w:val="0"/>
                  <w:vAlign w:val="center"/>
                </w:tcPr>
                <w:p>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沉淀池1座，容积</w:t>
                  </w:r>
                  <w:r>
                    <w:rPr>
                      <w:rFonts w:hint="eastAsia" w:cs="Times New Roman"/>
                      <w:b w:val="0"/>
                      <w:bCs w:val="0"/>
                      <w:color w:val="auto"/>
                      <w:kern w:val="0"/>
                      <w:sz w:val="21"/>
                      <w:szCs w:val="21"/>
                      <w:lang w:val="en-US" w:eastAsia="zh-CN" w:bidi="ar-SA"/>
                    </w:rPr>
                    <w:t>50</w:t>
                  </w:r>
                  <w:r>
                    <w:rPr>
                      <w:rFonts w:hint="default" w:ascii="Times New Roman" w:hAnsi="Times New Roman" w:eastAsia="宋体" w:cs="Times New Roman"/>
                      <w:b w:val="0"/>
                      <w:bCs w:val="0"/>
                      <w:color w:val="auto"/>
                      <w:kern w:val="0"/>
                      <w:sz w:val="21"/>
                      <w:szCs w:val="21"/>
                      <w:lang w:val="en-US" w:eastAsia="zh-CN" w:bidi="ar-SA"/>
                    </w:rPr>
                    <w:t>m</w:t>
                  </w:r>
                  <w:r>
                    <w:rPr>
                      <w:rFonts w:hint="default" w:ascii="Times New Roman" w:hAnsi="Times New Roman" w:eastAsia="宋体" w:cs="Times New Roman"/>
                      <w:b w:val="0"/>
                      <w:bCs w:val="0"/>
                      <w:color w:val="auto"/>
                      <w:kern w:val="0"/>
                      <w:sz w:val="21"/>
                      <w:szCs w:val="21"/>
                      <w:vertAlign w:val="superscript"/>
                      <w:lang w:val="en-US" w:eastAsia="zh-CN" w:bidi="ar-SA"/>
                    </w:rPr>
                    <w:t>3</w:t>
                  </w:r>
                  <w:r>
                    <w:rPr>
                      <w:rFonts w:hint="eastAsia" w:ascii="Times New Roman" w:hAnsi="Times New Roman" w:eastAsia="宋体" w:cs="Times New Roman"/>
                      <w:b w:val="0"/>
                      <w:bCs w:val="0"/>
                      <w:color w:val="auto"/>
                      <w:kern w:val="0"/>
                      <w:sz w:val="21"/>
                      <w:szCs w:val="21"/>
                      <w:lang w:val="en-US" w:eastAsia="zh-CN" w:bidi="ar-SA"/>
                    </w:rPr>
                    <w:t>，</w:t>
                  </w:r>
                  <w:r>
                    <w:rPr>
                      <w:rFonts w:hint="eastAsia" w:cs="Times New Roman"/>
                      <w:b w:val="0"/>
                      <w:bCs w:val="0"/>
                      <w:color w:val="auto"/>
                      <w:kern w:val="0"/>
                      <w:sz w:val="21"/>
                      <w:szCs w:val="21"/>
                      <w:lang w:val="en-US" w:eastAsia="zh-CN" w:bidi="ar-SA"/>
                    </w:rPr>
                    <w:t>刚性防水处理，</w:t>
                  </w:r>
                  <w:r>
                    <w:rPr>
                      <w:rFonts w:hint="default" w:ascii="Times New Roman" w:hAnsi="Times New Roman" w:eastAsia="宋体" w:cs="Times New Roman"/>
                      <w:b w:val="0"/>
                      <w:bCs w:val="0"/>
                      <w:color w:val="auto"/>
                      <w:kern w:val="0"/>
                      <w:sz w:val="21"/>
                      <w:szCs w:val="21"/>
                      <w:lang w:val="en-US" w:eastAsia="zh-CN" w:bidi="ar-SA"/>
                    </w:rPr>
                    <w:t>用于储存</w:t>
                  </w:r>
                  <w:r>
                    <w:rPr>
                      <w:rFonts w:hint="eastAsia" w:ascii="Times New Roman" w:hAnsi="Times New Roman" w:eastAsia="宋体" w:cs="Times New Roman"/>
                      <w:b w:val="0"/>
                      <w:bCs w:val="0"/>
                      <w:color w:val="auto"/>
                      <w:kern w:val="0"/>
                      <w:sz w:val="21"/>
                      <w:szCs w:val="21"/>
                      <w:lang w:val="en-US" w:eastAsia="zh-CN" w:bidi="ar-SA"/>
                    </w:rPr>
                    <w:t>搅拌机冲洗水、运输</w:t>
                  </w:r>
                  <w:r>
                    <w:rPr>
                      <w:rFonts w:hint="default" w:ascii="Times New Roman" w:hAnsi="Times New Roman" w:eastAsia="宋体" w:cs="Times New Roman"/>
                      <w:b w:val="0"/>
                      <w:bCs w:val="0"/>
                      <w:color w:val="auto"/>
                      <w:kern w:val="0"/>
                      <w:sz w:val="21"/>
                      <w:szCs w:val="21"/>
                      <w:lang w:val="en-US" w:eastAsia="zh-CN" w:bidi="ar-SA"/>
                    </w:rPr>
                    <w:t>车辆</w:t>
                  </w:r>
                  <w:r>
                    <w:rPr>
                      <w:rFonts w:hint="eastAsia" w:ascii="Times New Roman" w:hAnsi="Times New Roman" w:eastAsia="宋体" w:cs="Times New Roman"/>
                      <w:b w:val="0"/>
                      <w:bCs w:val="0"/>
                      <w:color w:val="auto"/>
                      <w:kern w:val="0"/>
                      <w:sz w:val="21"/>
                      <w:szCs w:val="21"/>
                      <w:lang w:val="en-US" w:eastAsia="zh-CN" w:bidi="ar-SA"/>
                    </w:rPr>
                    <w:t>罐内</w:t>
                  </w:r>
                  <w:r>
                    <w:rPr>
                      <w:rFonts w:hint="default" w:ascii="Times New Roman" w:hAnsi="Times New Roman" w:eastAsia="宋体" w:cs="Times New Roman"/>
                      <w:b w:val="0"/>
                      <w:bCs w:val="0"/>
                      <w:color w:val="auto"/>
                      <w:kern w:val="0"/>
                      <w:sz w:val="21"/>
                      <w:szCs w:val="21"/>
                      <w:lang w:val="en-US" w:eastAsia="zh-CN" w:bidi="ar-SA"/>
                    </w:rPr>
                    <w:t>冲洗废水</w:t>
                  </w:r>
                  <w:r>
                    <w:rPr>
                      <w:rFonts w:hint="eastAsia" w:ascii="Times New Roman" w:hAnsi="Times New Roman" w:eastAsia="宋体" w:cs="Times New Roman"/>
                      <w:b w:val="0"/>
                      <w:bCs w:val="0"/>
                      <w:color w:val="auto"/>
                      <w:kern w:val="0"/>
                      <w:sz w:val="21"/>
                      <w:szCs w:val="21"/>
                      <w:lang w:val="en-US" w:eastAsia="zh-CN" w:bidi="ar-SA"/>
                    </w:rPr>
                    <w:t>、作业带冲洗废水以及雨水</w:t>
                  </w:r>
                  <w:r>
                    <w:rPr>
                      <w:rFonts w:hint="default" w:ascii="Times New Roman" w:hAnsi="Times New Roman" w:eastAsia="宋体" w:cs="Times New Roman"/>
                      <w:b w:val="0"/>
                      <w:bCs w:val="0"/>
                      <w:color w:val="auto"/>
                      <w:kern w:val="0"/>
                      <w:sz w:val="21"/>
                      <w:szCs w:val="21"/>
                      <w:lang w:val="en-US" w:eastAsia="zh-CN" w:bidi="ar-SA"/>
                    </w:rPr>
                    <w:t>经沉淀后回用于生产，不外排。</w:t>
                  </w:r>
                </w:p>
              </w:tc>
              <w:tc>
                <w:tcPr>
                  <w:tcW w:w="1125" w:type="dxa"/>
                  <w:noWrap w:val="0"/>
                  <w:vAlign w:val="center"/>
                </w:tcPr>
                <w:p>
                  <w:pPr>
                    <w:spacing w:line="240" w:lineRule="auto"/>
                    <w:jc w:val="center"/>
                    <w:rPr>
                      <w:rFonts w:hint="default" w:ascii="Times New Roman" w:hAnsi="Times New Roman" w:eastAsia="宋体" w:cs="Times New Roman"/>
                      <w:b w:val="0"/>
                      <w:bCs w:val="0"/>
                      <w:color w:val="auto"/>
                      <w:kern w:val="0"/>
                      <w:sz w:val="21"/>
                      <w:szCs w:val="21"/>
                      <w:highlight w:val="red"/>
                      <w:lang w:val="en-US" w:eastAsia="zh-CN" w:bidi="ar-SA"/>
                    </w:rPr>
                  </w:pPr>
                  <w:r>
                    <w:rPr>
                      <w:rFonts w:hint="eastAsia" w:cs="Times New Roman"/>
                      <w:b w:val="0"/>
                      <w:bCs w:val="0"/>
                      <w:color w:val="auto"/>
                      <w:sz w:val="21"/>
                      <w:szCs w:val="21"/>
                      <w:highlight w:val="none"/>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eastAsia="zh-CN"/>
                    </w:rPr>
                  </w:pPr>
                </w:p>
              </w:tc>
              <w:tc>
                <w:tcPr>
                  <w:tcW w:w="1025" w:type="dxa"/>
                  <w:tcBorders>
                    <w:bottom w:val="single" w:color="auto" w:sz="4" w:space="0"/>
                  </w:tcBorders>
                  <w:noWrap w:val="0"/>
                  <w:vAlign w:val="center"/>
                </w:tcPr>
                <w:p>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收集沟</w:t>
                  </w:r>
                </w:p>
              </w:tc>
              <w:tc>
                <w:tcPr>
                  <w:tcW w:w="5499" w:type="dxa"/>
                  <w:tcBorders>
                    <w:bottom w:val="single" w:color="auto" w:sz="4" w:space="0"/>
                  </w:tcBorders>
                  <w:noWrap w:val="0"/>
                  <w:vAlign w:val="center"/>
                </w:tcPr>
                <w:p>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位于厂区南侧，长8</w:t>
                  </w:r>
                  <w:r>
                    <w:rPr>
                      <w:rFonts w:hint="default" w:ascii="Times New Roman" w:hAnsi="Times New Roman" w:cs="Times New Roman"/>
                      <w:b w:val="0"/>
                      <w:bCs w:val="0"/>
                      <w:color w:val="auto"/>
                      <w:kern w:val="0"/>
                      <w:sz w:val="21"/>
                      <w:szCs w:val="21"/>
                      <w:lang w:val="en-US" w:eastAsia="zh-CN" w:bidi="ar-SA"/>
                    </w:rPr>
                    <w:t>0m</w:t>
                  </w:r>
                  <w:r>
                    <w:rPr>
                      <w:rFonts w:hint="eastAsia" w:cs="Times New Roman"/>
                      <w:b w:val="0"/>
                      <w:bCs w:val="0"/>
                      <w:color w:val="auto"/>
                      <w:kern w:val="0"/>
                      <w:sz w:val="21"/>
                      <w:szCs w:val="21"/>
                      <w:lang w:val="en-US" w:eastAsia="zh-CN" w:bidi="ar-SA"/>
                    </w:rPr>
                    <w:t>，宽</w:t>
                  </w:r>
                  <w:r>
                    <w:rPr>
                      <w:rFonts w:hint="default" w:ascii="Times New Roman" w:hAnsi="Times New Roman" w:cs="Times New Roman"/>
                      <w:b w:val="0"/>
                      <w:bCs w:val="0"/>
                      <w:color w:val="auto"/>
                      <w:kern w:val="0"/>
                      <w:sz w:val="21"/>
                      <w:szCs w:val="21"/>
                      <w:lang w:val="en-US" w:eastAsia="zh-CN" w:bidi="ar-SA"/>
                    </w:rPr>
                    <w:t>0</w:t>
                  </w:r>
                  <w:r>
                    <w:rPr>
                      <w:rFonts w:hint="eastAsia" w:cs="Times New Roman"/>
                      <w:b w:val="0"/>
                      <w:bCs w:val="0"/>
                      <w:color w:val="auto"/>
                      <w:kern w:val="0"/>
                      <w:sz w:val="21"/>
                      <w:szCs w:val="21"/>
                      <w:lang w:val="en-US" w:eastAsia="zh-CN" w:bidi="ar-SA"/>
                    </w:rPr>
                    <w:t>.5</w:t>
                  </w:r>
                  <w:r>
                    <w:rPr>
                      <w:rFonts w:hint="default" w:ascii="Times New Roman" w:hAnsi="Times New Roman" w:cs="Times New Roman"/>
                      <w:b w:val="0"/>
                      <w:bCs w:val="0"/>
                      <w:color w:val="auto"/>
                      <w:kern w:val="0"/>
                      <w:sz w:val="21"/>
                      <w:szCs w:val="21"/>
                      <w:lang w:val="en-US" w:eastAsia="zh-CN" w:bidi="ar-SA"/>
                    </w:rPr>
                    <w:t>m</w:t>
                  </w:r>
                  <w:r>
                    <w:rPr>
                      <w:rFonts w:hint="eastAsia" w:cs="Times New Roman"/>
                      <w:b w:val="0"/>
                      <w:bCs w:val="0"/>
                      <w:color w:val="auto"/>
                      <w:kern w:val="0"/>
                      <w:sz w:val="21"/>
                      <w:szCs w:val="21"/>
                      <w:lang w:val="en-US" w:eastAsia="zh-CN" w:bidi="ar-SA"/>
                    </w:rPr>
                    <w:t>，高</w:t>
                  </w:r>
                  <w:r>
                    <w:rPr>
                      <w:rFonts w:hint="default" w:ascii="Times New Roman" w:hAnsi="Times New Roman" w:cs="Times New Roman"/>
                      <w:b w:val="0"/>
                      <w:bCs w:val="0"/>
                      <w:color w:val="auto"/>
                      <w:kern w:val="0"/>
                      <w:sz w:val="21"/>
                      <w:szCs w:val="21"/>
                      <w:lang w:val="en-US" w:eastAsia="zh-CN" w:bidi="ar-SA"/>
                    </w:rPr>
                    <w:t>0</w:t>
                  </w:r>
                  <w:r>
                    <w:rPr>
                      <w:rFonts w:hint="eastAsia" w:cs="Times New Roman"/>
                      <w:b w:val="0"/>
                      <w:bCs w:val="0"/>
                      <w:color w:val="auto"/>
                      <w:kern w:val="0"/>
                      <w:sz w:val="21"/>
                      <w:szCs w:val="21"/>
                      <w:lang w:val="en-US" w:eastAsia="zh-CN" w:bidi="ar-SA"/>
                    </w:rPr>
                    <w:t>.</w:t>
                  </w:r>
                  <w:r>
                    <w:rPr>
                      <w:rFonts w:hint="default" w:ascii="Times New Roman" w:hAnsi="Times New Roman" w:cs="Times New Roman"/>
                      <w:b w:val="0"/>
                      <w:bCs w:val="0"/>
                      <w:color w:val="auto"/>
                      <w:kern w:val="0"/>
                      <w:sz w:val="21"/>
                      <w:szCs w:val="21"/>
                      <w:lang w:val="en-US" w:eastAsia="zh-CN" w:bidi="ar-SA"/>
                    </w:rPr>
                    <w:t>6m</w:t>
                  </w:r>
                  <w:r>
                    <w:rPr>
                      <w:rFonts w:hint="eastAsia" w:cs="Times New Roman"/>
                      <w:b w:val="0"/>
                      <w:bCs w:val="0"/>
                      <w:color w:val="auto"/>
                      <w:kern w:val="0"/>
                      <w:sz w:val="21"/>
                      <w:szCs w:val="21"/>
                      <w:lang w:val="en-US" w:eastAsia="zh-CN" w:bidi="ar-SA"/>
                    </w:rPr>
                    <w:t>，用于收集厂区初期雨水。</w:t>
                  </w:r>
                </w:p>
              </w:tc>
              <w:tc>
                <w:tcPr>
                  <w:tcW w:w="1125" w:type="dxa"/>
                  <w:noWrap w:val="0"/>
                  <w:vAlign w:val="center"/>
                </w:tcPr>
                <w:p>
                  <w:pPr>
                    <w:spacing w:line="240" w:lineRule="auto"/>
                    <w:jc w:val="center"/>
                    <w:rPr>
                      <w:rFonts w:hint="eastAsia"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restart"/>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辅助</w:t>
                  </w:r>
                </w:p>
                <w:p>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工程</w:t>
                  </w:r>
                </w:p>
              </w:tc>
              <w:tc>
                <w:tcPr>
                  <w:tcW w:w="1025"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办公区</w:t>
                  </w:r>
                </w:p>
              </w:tc>
              <w:tc>
                <w:tcPr>
                  <w:tcW w:w="5499" w:type="dxa"/>
                  <w:noWrap w:val="0"/>
                  <w:vAlign w:val="center"/>
                </w:tcPr>
                <w:p>
                  <w:pPr>
                    <w:adjustRightInd w:val="0"/>
                    <w:snapToGrid w:val="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rPr>
                    <w:t>建筑面积</w:t>
                  </w:r>
                  <w:r>
                    <w:rPr>
                      <w:rFonts w:hint="default" w:ascii="Times New Roman" w:hAnsi="Times New Roman" w:cs="Times New Roman"/>
                      <w:b w:val="0"/>
                      <w:bCs w:val="0"/>
                      <w:color w:val="auto"/>
                      <w:sz w:val="21"/>
                      <w:szCs w:val="21"/>
                      <w:lang w:val="en-US" w:eastAsia="zh-CN"/>
                    </w:rPr>
                    <w:t>3</w:t>
                  </w:r>
                  <w:r>
                    <w:rPr>
                      <w:rFonts w:hint="eastAsia" w:cs="Times New Roman"/>
                      <w:b w:val="0"/>
                      <w:bCs w:val="0"/>
                      <w:color w:val="auto"/>
                      <w:sz w:val="21"/>
                      <w:szCs w:val="21"/>
                      <w:lang w:val="en-US" w:eastAsia="zh-CN"/>
                    </w:rPr>
                    <w:t>0</w:t>
                  </w:r>
                  <w:r>
                    <w:rPr>
                      <w:rFonts w:hint="default" w:ascii="Times New Roman" w:hAnsi="Times New Roman"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，高度约</w:t>
                  </w:r>
                  <w:r>
                    <w:rPr>
                      <w:rFonts w:hint="eastAsia"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rPr>
                    <w:t>m，</w:t>
                  </w:r>
                  <w:r>
                    <w:rPr>
                      <w:rFonts w:hint="eastAsia"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rPr>
                    <w:t>层建筑，用于厂区人员办公</w:t>
                  </w:r>
                  <w:r>
                    <w:rPr>
                      <w:rFonts w:hint="eastAsia" w:cs="Times New Roman"/>
                      <w:b w:val="0"/>
                      <w:bCs w:val="0"/>
                      <w:color w:val="auto"/>
                      <w:sz w:val="21"/>
                      <w:szCs w:val="21"/>
                      <w:lang w:val="en-US" w:eastAsia="zh-CN"/>
                    </w:rPr>
                    <w:t>。</w:t>
                  </w:r>
                </w:p>
              </w:tc>
              <w:tc>
                <w:tcPr>
                  <w:tcW w:w="1125"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rPr>
                  </w:pPr>
                </w:p>
              </w:tc>
              <w:tc>
                <w:tcPr>
                  <w:tcW w:w="1025"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实验室</w:t>
                  </w:r>
                </w:p>
              </w:tc>
              <w:tc>
                <w:tcPr>
                  <w:tcW w:w="5499" w:type="dxa"/>
                  <w:noWrap w:val="0"/>
                  <w:vAlign w:val="center"/>
                </w:tcPr>
                <w:p>
                  <w:pPr>
                    <w:adjustRightInd w:val="0"/>
                    <w:snapToGrid w:val="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rPr>
                    <w:t>建筑面积</w:t>
                  </w:r>
                  <w:r>
                    <w:rPr>
                      <w:rFonts w:hint="eastAsia" w:cs="Times New Roman"/>
                      <w:b w:val="0"/>
                      <w:bCs w:val="0"/>
                      <w:color w:val="auto"/>
                      <w:sz w:val="21"/>
                      <w:szCs w:val="21"/>
                      <w:lang w:val="en-US" w:eastAsia="zh-CN"/>
                    </w:rPr>
                    <w:t>5</w:t>
                  </w:r>
                  <w:r>
                    <w:rPr>
                      <w:rFonts w:hint="default" w:ascii="Times New Roman" w:hAnsi="Times New Roman"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2</w:t>
                  </w:r>
                  <w:r>
                    <w:rPr>
                      <w:rFonts w:hint="default" w:ascii="Times New Roman" w:hAnsi="Times New Roman" w:eastAsia="宋体" w:cs="Times New Roman"/>
                      <w:b w:val="0"/>
                      <w:bCs w:val="0"/>
                      <w:color w:val="auto"/>
                      <w:sz w:val="21"/>
                      <w:szCs w:val="21"/>
                    </w:rPr>
                    <w:t>，高度约</w:t>
                  </w:r>
                  <w:r>
                    <w:rPr>
                      <w:rFonts w:hint="default" w:ascii="Times New Roman" w:hAnsi="Times New Roman"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rPr>
                    <w:t>m，</w:t>
                  </w:r>
                  <w:r>
                    <w:rPr>
                      <w:rFonts w:hint="default" w:ascii="Times New Roman" w:hAnsi="Times New Roman"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rPr>
                    <w:t>层建筑，用于厂区人员办公</w:t>
                  </w:r>
                  <w:r>
                    <w:rPr>
                      <w:rFonts w:hint="eastAsia" w:cs="Times New Roman"/>
                      <w:b w:val="0"/>
                      <w:bCs w:val="0"/>
                      <w:color w:val="auto"/>
                      <w:sz w:val="21"/>
                      <w:szCs w:val="21"/>
                      <w:lang w:val="en-US" w:eastAsia="zh-CN"/>
                    </w:rPr>
                    <w:t>。</w:t>
                  </w:r>
                </w:p>
              </w:tc>
              <w:tc>
                <w:tcPr>
                  <w:tcW w:w="1125" w:type="dxa"/>
                  <w:noWrap w:val="0"/>
                  <w:vAlign w:val="center"/>
                </w:tcPr>
                <w:p>
                  <w:pPr>
                    <w:adjustRightInd w:val="0"/>
                    <w:snapToGrid w:val="0"/>
                    <w:jc w:val="center"/>
                    <w:rPr>
                      <w:rFonts w:hint="eastAsia"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restart"/>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公用</w:t>
                  </w:r>
                </w:p>
                <w:p>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工程</w:t>
                  </w:r>
                </w:p>
              </w:tc>
              <w:tc>
                <w:tcPr>
                  <w:tcW w:w="1025" w:type="dxa"/>
                  <w:noWrap w:val="0"/>
                  <w:vAlign w:val="center"/>
                </w:tcPr>
                <w:p>
                  <w:pPr>
                    <w:pStyle w:val="18"/>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rPr>
                    <w:t>供电</w:t>
                  </w:r>
                </w:p>
              </w:tc>
              <w:tc>
                <w:tcPr>
                  <w:tcW w:w="5499" w:type="dxa"/>
                  <w:noWrap w:val="0"/>
                  <w:vAlign w:val="center"/>
                </w:tcPr>
                <w:p>
                  <w:pPr>
                    <w:pStyle w:val="18"/>
                    <w:adjustRightInd w:val="0"/>
                    <w:snapToGrid w:val="0"/>
                    <w:spacing w:before="0" w:beforeAutospacing="0" w:after="0" w:afterAutospacing="0"/>
                    <w:jc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rPr>
                    <w:t>当地供电电网</w:t>
                  </w:r>
                  <w:r>
                    <w:rPr>
                      <w:rFonts w:hint="eastAsia" w:ascii="Times New Roman" w:hAnsi="Times New Roman" w:cs="Times New Roman"/>
                      <w:color w:val="auto"/>
                      <w:sz w:val="21"/>
                      <w:szCs w:val="21"/>
                      <w:lang w:eastAsia="zh-CN"/>
                    </w:rPr>
                    <w:t>。</w:t>
                  </w:r>
                </w:p>
              </w:tc>
              <w:tc>
                <w:tcPr>
                  <w:tcW w:w="1125"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rPr>
                  </w:pPr>
                </w:p>
              </w:tc>
              <w:tc>
                <w:tcPr>
                  <w:tcW w:w="1025" w:type="dxa"/>
                  <w:noWrap w:val="0"/>
                  <w:vAlign w:val="center"/>
                </w:tcPr>
                <w:p>
                  <w:pPr>
                    <w:pStyle w:val="18"/>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rPr>
                    <w:t>采暖</w:t>
                  </w:r>
                </w:p>
              </w:tc>
              <w:tc>
                <w:tcPr>
                  <w:tcW w:w="5499" w:type="dxa"/>
                  <w:shd w:val="clear" w:color="auto" w:fill="auto"/>
                  <w:noWrap w:val="0"/>
                  <w:vAlign w:val="center"/>
                </w:tcPr>
                <w:p>
                  <w:pPr>
                    <w:pStyle w:val="18"/>
                    <w:adjustRightInd w:val="0"/>
                    <w:snapToGrid w:val="0"/>
                    <w:spacing w:before="0" w:beforeAutospacing="0" w:after="0" w:afterAutospacing="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color w:val="auto"/>
                      <w:sz w:val="21"/>
                      <w:szCs w:val="21"/>
                    </w:rPr>
                    <w:t>冬季不生产，</w:t>
                  </w:r>
                  <w:r>
                    <w:rPr>
                      <w:rFonts w:hint="eastAsia" w:ascii="Times New Roman" w:hAnsi="Times New Roman"/>
                      <w:color w:val="auto"/>
                      <w:sz w:val="21"/>
                      <w:szCs w:val="21"/>
                    </w:rPr>
                    <w:t>办公室</w:t>
                  </w:r>
                  <w:r>
                    <w:rPr>
                      <w:rFonts w:ascii="Times New Roman" w:hAnsi="Times New Roman"/>
                      <w:color w:val="auto"/>
                      <w:sz w:val="21"/>
                      <w:szCs w:val="21"/>
                    </w:rPr>
                    <w:t>采暖用电暖气</w:t>
                  </w:r>
                  <w:r>
                    <w:rPr>
                      <w:rFonts w:hint="eastAsia" w:ascii="Times New Roman" w:hAnsi="Times New Roman"/>
                      <w:color w:val="auto"/>
                      <w:sz w:val="21"/>
                      <w:szCs w:val="21"/>
                      <w:lang w:eastAsia="zh-CN"/>
                    </w:rPr>
                    <w:t>。</w:t>
                  </w:r>
                </w:p>
              </w:tc>
              <w:tc>
                <w:tcPr>
                  <w:tcW w:w="1125"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已</w:t>
                  </w:r>
                  <w:r>
                    <w:rPr>
                      <w:rFonts w:hint="default" w:ascii="Times New Roman" w:hAnsi="Times New Roman" w:eastAsia="宋体" w:cs="Times New Roman"/>
                      <w:b w:val="0"/>
                      <w:bCs w:val="0"/>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rPr>
                  </w:pPr>
                </w:p>
              </w:tc>
              <w:tc>
                <w:tcPr>
                  <w:tcW w:w="1025" w:type="dxa"/>
                  <w:noWrap w:val="0"/>
                  <w:vAlign w:val="center"/>
                </w:tcPr>
                <w:p>
                  <w:pPr>
                    <w:pStyle w:val="18"/>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rPr>
                    <w:t>给水</w:t>
                  </w:r>
                </w:p>
              </w:tc>
              <w:tc>
                <w:tcPr>
                  <w:tcW w:w="5499" w:type="dxa"/>
                  <w:noWrap w:val="0"/>
                  <w:vAlign w:val="center"/>
                </w:tcPr>
                <w:p>
                  <w:pPr>
                    <w:autoSpaceDE w:val="0"/>
                    <w:autoSpaceDN w:val="0"/>
                    <w:adjustRightInd w:val="0"/>
                    <w:snapToGrid w:val="0"/>
                    <w:jc w:val="center"/>
                    <w:rPr>
                      <w:rFonts w:hint="eastAsia" w:ascii="Times New Roman" w:hAnsi="Times New Roman" w:eastAsia="宋体" w:cs="Times New Roman"/>
                      <w:b w:val="0"/>
                      <w:bCs w:val="0"/>
                      <w:color w:val="auto"/>
                      <w:sz w:val="21"/>
                      <w:szCs w:val="21"/>
                      <w:highlight w:val="none"/>
                      <w:lang w:val="en-US" w:eastAsia="zh-CN"/>
                    </w:rPr>
                  </w:pPr>
                  <w:r>
                    <w:rPr>
                      <w:color w:val="auto"/>
                      <w:kern w:val="0"/>
                      <w:szCs w:val="21"/>
                    </w:rPr>
                    <w:t>生活、生产供水均为厂区自建水井，井深</w:t>
                  </w:r>
                  <w:r>
                    <w:rPr>
                      <w:rFonts w:hint="default" w:ascii="Times New Roman" w:hAnsi="Times New Roman" w:cs="Times New Roman"/>
                      <w:color w:val="auto"/>
                      <w:kern w:val="0"/>
                      <w:szCs w:val="21"/>
                    </w:rPr>
                    <w:t>100m</w:t>
                  </w:r>
                  <w:r>
                    <w:rPr>
                      <w:rFonts w:hint="eastAsia"/>
                      <w:color w:val="auto"/>
                      <w:kern w:val="0"/>
                      <w:szCs w:val="21"/>
                      <w:lang w:eastAsia="zh-CN"/>
                    </w:rPr>
                    <w:t>。</w:t>
                  </w:r>
                </w:p>
              </w:tc>
              <w:tc>
                <w:tcPr>
                  <w:tcW w:w="1125"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62" w:type="dxa"/>
                  <w:vMerge w:val="continue"/>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rPr>
                  </w:pPr>
                </w:p>
              </w:tc>
              <w:tc>
                <w:tcPr>
                  <w:tcW w:w="1025" w:type="dxa"/>
                  <w:noWrap w:val="0"/>
                  <w:vAlign w:val="center"/>
                </w:tcPr>
                <w:p>
                  <w:pPr>
                    <w:pStyle w:val="18"/>
                    <w:adjustRightInd w:val="0"/>
                    <w:snapToGrid w:val="0"/>
                    <w:spacing w:before="0" w:beforeAutospacing="0" w:after="0" w:afterAutospacing="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rPr>
                    <w:t>排水</w:t>
                  </w:r>
                </w:p>
              </w:tc>
              <w:tc>
                <w:tcPr>
                  <w:tcW w:w="5499" w:type="dxa"/>
                  <w:noWrap w:val="0"/>
                  <w:vAlign w:val="center"/>
                </w:tcPr>
                <w:p>
                  <w:pPr>
                    <w:autoSpaceDE w:val="0"/>
                    <w:autoSpaceDN w:val="0"/>
                    <w:adjustRightInd w:val="0"/>
                    <w:snapToGrid w:val="0"/>
                    <w:jc w:val="center"/>
                    <w:rPr>
                      <w:rFonts w:hint="eastAsia" w:ascii="Times New Roman" w:hAnsi="Times New Roman" w:eastAsia="宋体" w:cs="Times New Roman"/>
                      <w:b w:val="0"/>
                      <w:bCs w:val="0"/>
                      <w:color w:val="auto"/>
                      <w:sz w:val="21"/>
                      <w:szCs w:val="21"/>
                      <w:highlight w:val="none"/>
                      <w:lang w:eastAsia="zh-CN"/>
                    </w:rPr>
                  </w:pPr>
                  <w:r>
                    <w:rPr>
                      <w:rFonts w:hint="eastAsia"/>
                      <w:color w:val="auto"/>
                      <w:kern w:val="0"/>
                      <w:szCs w:val="21"/>
                      <w:lang w:eastAsia="zh-CN"/>
                    </w:rPr>
                    <w:t>生活污水排入防渗旱厕，定期清掏，外运堆肥，</w:t>
                  </w:r>
                  <w:r>
                    <w:rPr>
                      <w:color w:val="auto"/>
                      <w:kern w:val="0"/>
                      <w:szCs w:val="21"/>
                    </w:rPr>
                    <w:t>生产冲洗的废水经沉淀处理后回收用于生产</w:t>
                  </w:r>
                  <w:r>
                    <w:rPr>
                      <w:rFonts w:hint="eastAsia"/>
                      <w:color w:val="auto"/>
                      <w:kern w:val="0"/>
                      <w:szCs w:val="21"/>
                      <w:lang w:eastAsia="zh-CN"/>
                    </w:rPr>
                    <w:t>。</w:t>
                  </w:r>
                </w:p>
              </w:tc>
              <w:tc>
                <w:tcPr>
                  <w:tcW w:w="1125" w:type="dxa"/>
                  <w:noWrap w:val="0"/>
                  <w:vAlign w:val="center"/>
                </w:tcPr>
                <w:p>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662" w:type="dxa"/>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1025" w:type="dxa"/>
                  <w:noWrap w:val="0"/>
                  <w:vAlign w:val="center"/>
                </w:tcPr>
                <w:p>
                  <w:pPr>
                    <w:pStyle w:val="18"/>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废气</w:t>
                  </w:r>
                </w:p>
              </w:tc>
              <w:tc>
                <w:tcPr>
                  <w:tcW w:w="5499"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szCs w:val="21"/>
                    </w:rPr>
                    <w:t>搅拌站采用彩钢棚封闭，每个筒仓设置</w:t>
                  </w:r>
                  <w:r>
                    <w:rPr>
                      <w:rFonts w:hint="default" w:ascii="Times New Roman" w:hAnsi="Times New Roman" w:cs="Times New Roman"/>
                      <w:szCs w:val="21"/>
                    </w:rPr>
                    <w:t>1</w:t>
                  </w:r>
                  <w:r>
                    <w:rPr>
                      <w:szCs w:val="21"/>
                    </w:rPr>
                    <w:t>台脉冲反吹除尘器，筒仓粉尘经除尘后以无组织形式排放，搅拌站设置</w:t>
                  </w:r>
                  <w:r>
                    <w:rPr>
                      <w:rFonts w:hint="default" w:ascii="Times New Roman" w:hAnsi="Times New Roman" w:cs="Times New Roman"/>
                      <w:szCs w:val="21"/>
                    </w:rPr>
                    <w:t>1</w:t>
                  </w:r>
                  <w:r>
                    <w:rPr>
                      <w:szCs w:val="21"/>
                    </w:rPr>
                    <w:t>台布袋除尘器，粉尘经除尘器处理后以无组织形式排放至车间内部</w:t>
                  </w:r>
                  <w:r>
                    <w:rPr>
                      <w:kern w:val="0"/>
                      <w:szCs w:val="21"/>
                    </w:rPr>
                    <w:t>；原料堆场</w:t>
                  </w:r>
                  <w:r>
                    <w:rPr>
                      <w:szCs w:val="21"/>
                    </w:rPr>
                    <w:t>采用</w:t>
                  </w:r>
                  <w:r>
                    <w:rPr>
                      <w:rFonts w:hint="eastAsia"/>
                      <w:szCs w:val="21"/>
                    </w:rPr>
                    <w:t>半封闭结构，内部设置高压喷雾系统降尘；车辆运输全封闭，装卸过程中洒水降尘</w:t>
                  </w:r>
                  <w:r>
                    <w:rPr>
                      <w:kern w:val="0"/>
                      <w:szCs w:val="21"/>
                    </w:rPr>
                    <w:t>；</w:t>
                  </w:r>
                  <w:r>
                    <w:rPr>
                      <w:rFonts w:hint="eastAsia"/>
                      <w:kern w:val="0"/>
                      <w:szCs w:val="21"/>
                    </w:rPr>
                    <w:t>原料输送系统采用全封闭式；</w:t>
                  </w:r>
                  <w:r>
                    <w:rPr>
                      <w:kern w:val="0"/>
                      <w:szCs w:val="21"/>
                    </w:rPr>
                    <w:t>厂区进行地面硬化，且定期洒水；</w:t>
                  </w:r>
                  <w:r>
                    <w:rPr>
                      <w:rFonts w:hint="eastAsia"/>
                      <w:kern w:val="0"/>
                      <w:szCs w:val="21"/>
                      <w:lang w:eastAsia="zh-CN"/>
                    </w:rPr>
                    <w:t>物料运输苫盖，厂区沙、石等堆场做好苫盖，杜绝露天堆放；</w:t>
                  </w:r>
                  <w:r>
                    <w:rPr>
                      <w:kern w:val="0"/>
                      <w:szCs w:val="21"/>
                    </w:rPr>
                    <w:t>经上述治理措施后厂界无组织排放颗粒物浓度满足《水泥工业大气污染物排放标准》（</w:t>
                  </w:r>
                  <w:r>
                    <w:rPr>
                      <w:rFonts w:hint="default" w:ascii="Times New Roman" w:hAnsi="Times New Roman" w:cs="Times New Roman"/>
                      <w:kern w:val="0"/>
                      <w:szCs w:val="21"/>
                    </w:rPr>
                    <w:t>GB4915</w:t>
                  </w:r>
                  <w:r>
                    <w:rPr>
                      <w:kern w:val="0"/>
                      <w:szCs w:val="21"/>
                    </w:rPr>
                    <w:t>-</w:t>
                  </w:r>
                  <w:r>
                    <w:rPr>
                      <w:rFonts w:hint="default" w:ascii="Times New Roman" w:hAnsi="Times New Roman" w:cs="Times New Roman"/>
                      <w:kern w:val="0"/>
                      <w:szCs w:val="21"/>
                    </w:rPr>
                    <w:t>2013</w:t>
                  </w:r>
                  <w:r>
                    <w:rPr>
                      <w:kern w:val="0"/>
                      <w:szCs w:val="21"/>
                    </w:rPr>
                    <w:t>）表</w:t>
                  </w:r>
                  <w:r>
                    <w:rPr>
                      <w:rFonts w:hint="default" w:ascii="Times New Roman" w:hAnsi="Times New Roman" w:cs="Times New Roman"/>
                      <w:kern w:val="0"/>
                      <w:szCs w:val="21"/>
                    </w:rPr>
                    <w:t>3</w:t>
                  </w:r>
                  <w:r>
                    <w:rPr>
                      <w:kern w:val="0"/>
                      <w:szCs w:val="21"/>
                    </w:rPr>
                    <w:t>标准限值。</w:t>
                  </w:r>
                </w:p>
              </w:tc>
              <w:tc>
                <w:tcPr>
                  <w:tcW w:w="1125"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662" w:type="dxa"/>
                  <w:vMerge w:val="continue"/>
                  <w:noWrap w:val="0"/>
                  <w:vAlign w:val="center"/>
                </w:tcPr>
                <w:p>
                  <w:pPr>
                    <w:adjustRightInd w:val="0"/>
                    <w:snapToGrid w:val="0"/>
                    <w:rPr>
                      <w:rFonts w:hint="default" w:ascii="Times New Roman" w:hAnsi="Times New Roman" w:eastAsia="宋体" w:cs="Times New Roman"/>
                      <w:color w:val="auto"/>
                      <w:sz w:val="21"/>
                      <w:szCs w:val="21"/>
                      <w:highlight w:val="none"/>
                    </w:rPr>
                  </w:pPr>
                </w:p>
              </w:tc>
              <w:tc>
                <w:tcPr>
                  <w:tcW w:w="1025" w:type="dxa"/>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w:t>
                  </w:r>
                </w:p>
              </w:tc>
              <w:tc>
                <w:tcPr>
                  <w:tcW w:w="5499" w:type="dxa"/>
                  <w:noWrap w:val="0"/>
                  <w:vAlign w:val="center"/>
                </w:tcPr>
                <w:p>
                  <w:pPr>
                    <w:pStyle w:val="105"/>
                    <w:keepNext w:val="0"/>
                    <w:keepLines w:val="0"/>
                    <w:pageBreakBefore w:val="0"/>
                    <w:kinsoku/>
                    <w:wordWrap/>
                    <w:overflowPunct/>
                    <w:topLinePunct w:val="0"/>
                    <w:autoSpaceDE/>
                    <w:autoSpaceDN/>
                    <w:bidi w:val="0"/>
                    <w:snapToGrid w:val="0"/>
                    <w:spacing w:before="0" w:after="0" w:line="240" w:lineRule="auto"/>
                    <w:ind w:left="0" w:leftChars="0" w:right="0" w:firstLine="0" w:firstLine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生活污水排入防渗旱厕，定期清掏，外运堆肥；</w:t>
                  </w:r>
                  <w:r>
                    <w:rPr>
                      <w:rFonts w:hint="eastAsia" w:ascii="Times New Roman" w:hAnsi="Times New Roman" w:eastAsia="宋体" w:cs="Times New Roman"/>
                      <w:b w:val="0"/>
                      <w:bCs w:val="0"/>
                      <w:color w:val="auto"/>
                      <w:kern w:val="0"/>
                      <w:sz w:val="21"/>
                      <w:szCs w:val="21"/>
                      <w:lang w:val="en-US" w:eastAsia="zh-CN" w:bidi="ar-SA"/>
                    </w:rPr>
                    <w:t>搅拌机冲洗水、运输</w:t>
                  </w:r>
                  <w:r>
                    <w:rPr>
                      <w:rFonts w:hint="default" w:ascii="Times New Roman" w:hAnsi="Times New Roman" w:eastAsia="宋体" w:cs="Times New Roman"/>
                      <w:b w:val="0"/>
                      <w:bCs w:val="0"/>
                      <w:color w:val="auto"/>
                      <w:kern w:val="0"/>
                      <w:sz w:val="21"/>
                      <w:szCs w:val="21"/>
                      <w:lang w:val="en-US" w:eastAsia="zh-CN" w:bidi="ar-SA"/>
                    </w:rPr>
                    <w:t>车辆</w:t>
                  </w:r>
                  <w:r>
                    <w:rPr>
                      <w:rFonts w:hint="eastAsia" w:ascii="Times New Roman" w:hAnsi="Times New Roman" w:eastAsia="宋体" w:cs="Times New Roman"/>
                      <w:b w:val="0"/>
                      <w:bCs w:val="0"/>
                      <w:color w:val="auto"/>
                      <w:kern w:val="0"/>
                      <w:sz w:val="21"/>
                      <w:szCs w:val="21"/>
                      <w:lang w:val="en-US" w:eastAsia="zh-CN" w:bidi="ar-SA"/>
                    </w:rPr>
                    <w:t>罐内</w:t>
                  </w:r>
                  <w:r>
                    <w:rPr>
                      <w:rFonts w:hint="default" w:ascii="Times New Roman" w:hAnsi="Times New Roman" w:eastAsia="宋体" w:cs="Times New Roman"/>
                      <w:b w:val="0"/>
                      <w:bCs w:val="0"/>
                      <w:color w:val="auto"/>
                      <w:kern w:val="0"/>
                      <w:sz w:val="21"/>
                      <w:szCs w:val="21"/>
                      <w:lang w:val="en-US" w:eastAsia="zh-CN" w:bidi="ar-SA"/>
                    </w:rPr>
                    <w:t>冲洗废水</w:t>
                  </w:r>
                  <w:r>
                    <w:rPr>
                      <w:rFonts w:hint="eastAsia" w:ascii="Times New Roman" w:hAnsi="Times New Roman" w:eastAsia="宋体" w:cs="Times New Roman"/>
                      <w:b w:val="0"/>
                      <w:bCs w:val="0"/>
                      <w:color w:val="auto"/>
                      <w:kern w:val="0"/>
                      <w:sz w:val="21"/>
                      <w:szCs w:val="21"/>
                      <w:lang w:val="en-US" w:eastAsia="zh-CN" w:bidi="ar-SA"/>
                    </w:rPr>
                    <w:t>、作业带冲洗废水排入沉淀池（</w:t>
                  </w:r>
                  <w:r>
                    <w:rPr>
                      <w:rFonts w:hint="default" w:ascii="Times New Roman" w:hAnsi="Times New Roman" w:cs="Times New Roman"/>
                      <w:b w:val="0"/>
                      <w:bCs w:val="0"/>
                      <w:color w:val="auto"/>
                      <w:kern w:val="0"/>
                      <w:sz w:val="21"/>
                      <w:szCs w:val="21"/>
                      <w:lang w:val="en-US" w:eastAsia="zh-CN" w:bidi="ar-SA"/>
                    </w:rPr>
                    <w:t>100</w:t>
                  </w:r>
                  <w:r>
                    <w:rPr>
                      <w:rFonts w:hint="default" w:ascii="Times New Roman" w:hAnsi="Times New Roman" w:eastAsia="宋体" w:cs="Times New Roman"/>
                      <w:b w:val="0"/>
                      <w:bCs w:val="0"/>
                      <w:color w:val="auto"/>
                      <w:kern w:val="0"/>
                      <w:sz w:val="21"/>
                      <w:szCs w:val="21"/>
                      <w:lang w:val="en-US" w:eastAsia="zh-CN" w:bidi="ar-SA"/>
                    </w:rPr>
                    <w:t>m</w:t>
                  </w:r>
                  <w:r>
                    <w:rPr>
                      <w:rFonts w:hint="default" w:ascii="Times New Roman" w:hAnsi="Times New Roman" w:eastAsia="宋体" w:cs="Times New Roman"/>
                      <w:b w:val="0"/>
                      <w:bCs w:val="0"/>
                      <w:color w:val="auto"/>
                      <w:kern w:val="0"/>
                      <w:sz w:val="21"/>
                      <w:szCs w:val="21"/>
                      <w:vertAlign w:val="superscript"/>
                      <w:lang w:val="en-US" w:eastAsia="zh-CN" w:bidi="ar-SA"/>
                    </w:rPr>
                    <w:t>3</w:t>
                  </w:r>
                  <w:r>
                    <w:rPr>
                      <w:rFonts w:hint="eastAsia" w:ascii="Times New Roman" w:hAnsi="Times New Roman" w:eastAsia="宋体" w:cs="Times New Roman"/>
                      <w:b w:val="0"/>
                      <w:bCs w:val="0"/>
                      <w:color w:val="auto"/>
                      <w:kern w:val="0"/>
                      <w:sz w:val="21"/>
                      <w:szCs w:val="21"/>
                      <w:lang w:val="en-US" w:eastAsia="zh-CN" w:bidi="ar-SA"/>
                    </w:rPr>
                    <w:t>），</w:t>
                  </w:r>
                  <w:r>
                    <w:rPr>
                      <w:rFonts w:hint="default" w:ascii="Times New Roman" w:hAnsi="Times New Roman" w:eastAsia="宋体" w:cs="Times New Roman"/>
                      <w:b w:val="0"/>
                      <w:bCs w:val="0"/>
                      <w:color w:val="auto"/>
                      <w:kern w:val="0"/>
                      <w:sz w:val="21"/>
                      <w:szCs w:val="21"/>
                      <w:lang w:val="en-US" w:eastAsia="zh-CN" w:bidi="ar-SA"/>
                    </w:rPr>
                    <w:t>经沉淀后回用于生产，不外排。</w:t>
                  </w:r>
                  <w:r>
                    <w:rPr>
                      <w:rFonts w:hint="eastAsia" w:ascii="Times New Roman" w:hAnsi="Times New Roman" w:eastAsia="宋体" w:cs="Times New Roman"/>
                      <w:b w:val="0"/>
                      <w:bCs w:val="0"/>
                      <w:color w:val="auto"/>
                      <w:kern w:val="0"/>
                      <w:sz w:val="21"/>
                      <w:szCs w:val="21"/>
                      <w:lang w:val="en-US" w:eastAsia="zh-CN" w:bidi="ar-SA"/>
                    </w:rPr>
                    <w:t>初期雨水</w:t>
                  </w:r>
                  <w:r>
                    <w:rPr>
                      <w:rFonts w:hint="eastAsia" w:cs="Times New Roman"/>
                      <w:b w:val="0"/>
                      <w:bCs w:val="0"/>
                      <w:color w:val="auto"/>
                      <w:kern w:val="0"/>
                      <w:sz w:val="21"/>
                      <w:szCs w:val="21"/>
                      <w:lang w:val="en-US" w:eastAsia="zh-CN" w:bidi="ar-SA"/>
                    </w:rPr>
                    <w:t>通过雨水收集沟</w:t>
                  </w:r>
                  <w:r>
                    <w:rPr>
                      <w:rFonts w:hint="eastAsia" w:ascii="Times New Roman" w:hAnsi="Times New Roman" w:eastAsia="宋体" w:cs="Times New Roman"/>
                      <w:b w:val="0"/>
                      <w:bCs w:val="0"/>
                      <w:color w:val="auto"/>
                      <w:kern w:val="0"/>
                      <w:sz w:val="21"/>
                      <w:szCs w:val="21"/>
                      <w:lang w:val="en-US" w:eastAsia="zh-CN" w:bidi="ar-SA"/>
                    </w:rPr>
                    <w:t>排入沉淀池</w:t>
                  </w:r>
                  <w:r>
                    <w:rPr>
                      <w:rFonts w:hint="eastAsia" w:cs="Times New Roman"/>
                      <w:b w:val="0"/>
                      <w:bCs w:val="0"/>
                      <w:color w:val="auto"/>
                      <w:kern w:val="0"/>
                      <w:sz w:val="21"/>
                      <w:szCs w:val="21"/>
                      <w:lang w:val="en-US" w:eastAsia="zh-CN" w:bidi="ar-SA"/>
                    </w:rPr>
                    <w:t>（</w:t>
                  </w:r>
                  <w:r>
                    <w:rPr>
                      <w:rFonts w:hint="default" w:ascii="Times New Roman" w:hAnsi="Times New Roman" w:cs="Times New Roman"/>
                      <w:b w:val="0"/>
                      <w:bCs w:val="0"/>
                      <w:color w:val="auto"/>
                      <w:kern w:val="0"/>
                      <w:sz w:val="21"/>
                      <w:szCs w:val="21"/>
                      <w:lang w:val="en-US" w:eastAsia="zh-CN" w:bidi="ar-SA"/>
                    </w:rPr>
                    <w:t>100</w:t>
                  </w:r>
                  <w:r>
                    <w:rPr>
                      <w:rFonts w:hint="default" w:ascii="Times New Roman" w:hAnsi="Times New Roman" w:eastAsia="宋体" w:cs="Times New Roman"/>
                      <w:b w:val="0"/>
                      <w:bCs w:val="0"/>
                      <w:color w:val="auto"/>
                      <w:kern w:val="0"/>
                      <w:sz w:val="21"/>
                      <w:szCs w:val="21"/>
                      <w:lang w:val="en-US" w:eastAsia="zh-CN" w:bidi="ar-SA"/>
                    </w:rPr>
                    <w:t>m</w:t>
                  </w:r>
                  <w:r>
                    <w:rPr>
                      <w:rFonts w:hint="default" w:ascii="Times New Roman" w:hAnsi="Times New Roman" w:eastAsia="宋体" w:cs="Times New Roman"/>
                      <w:b w:val="0"/>
                      <w:bCs w:val="0"/>
                      <w:color w:val="auto"/>
                      <w:kern w:val="0"/>
                      <w:sz w:val="21"/>
                      <w:szCs w:val="21"/>
                      <w:vertAlign w:val="superscript"/>
                      <w:lang w:val="en-US" w:eastAsia="zh-CN" w:bidi="ar-SA"/>
                    </w:rPr>
                    <w:t>3</w:t>
                  </w:r>
                  <w:r>
                    <w:rPr>
                      <w:rFonts w:hint="eastAsia" w:cs="Times New Roman"/>
                      <w:b w:val="0"/>
                      <w:bCs w:val="0"/>
                      <w:color w:val="auto"/>
                      <w:kern w:val="0"/>
                      <w:sz w:val="21"/>
                      <w:szCs w:val="21"/>
                      <w:lang w:val="en-US" w:eastAsia="zh-CN" w:bidi="ar-SA"/>
                    </w:rPr>
                    <w:t>）</w:t>
                  </w:r>
                  <w:r>
                    <w:rPr>
                      <w:rFonts w:hint="eastAsia" w:ascii="Times New Roman" w:hAnsi="Times New Roman" w:eastAsia="宋体" w:cs="Times New Roman"/>
                      <w:b w:val="0"/>
                      <w:bCs w:val="0"/>
                      <w:color w:val="auto"/>
                      <w:kern w:val="0"/>
                      <w:sz w:val="21"/>
                      <w:szCs w:val="21"/>
                      <w:lang w:val="en-US" w:eastAsia="zh-CN" w:bidi="ar-SA"/>
                    </w:rPr>
                    <w:t>经沉淀后用于</w:t>
                  </w:r>
                  <w:r>
                    <w:rPr>
                      <w:rFonts w:hint="eastAsia" w:cs="Times New Roman"/>
                      <w:b w:val="0"/>
                      <w:bCs w:val="0"/>
                      <w:color w:val="auto"/>
                      <w:kern w:val="0"/>
                      <w:sz w:val="21"/>
                      <w:szCs w:val="21"/>
                      <w:lang w:val="en-US" w:eastAsia="zh-CN" w:bidi="ar-SA"/>
                    </w:rPr>
                    <w:t>生产</w:t>
                  </w:r>
                  <w:r>
                    <w:rPr>
                      <w:rFonts w:hint="eastAsia" w:ascii="Times New Roman" w:hAnsi="Times New Roman" w:eastAsia="宋体" w:cs="Times New Roman"/>
                      <w:b w:val="0"/>
                      <w:bCs w:val="0"/>
                      <w:color w:val="auto"/>
                      <w:kern w:val="0"/>
                      <w:sz w:val="21"/>
                      <w:szCs w:val="21"/>
                      <w:lang w:val="en-US" w:eastAsia="zh-CN" w:bidi="ar-SA"/>
                    </w:rPr>
                    <w:t>。</w:t>
                  </w:r>
                </w:p>
              </w:tc>
              <w:tc>
                <w:tcPr>
                  <w:tcW w:w="1125"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15" w:hRule="atLeast"/>
              </w:trPr>
              <w:tc>
                <w:tcPr>
                  <w:tcW w:w="662"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025" w:type="dxa"/>
                  <w:noWrap w:val="0"/>
                  <w:vAlign w:val="center"/>
                </w:tcPr>
                <w:p>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固体</w:t>
                  </w:r>
                </w:p>
                <w:p>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废物</w:t>
                  </w:r>
                </w:p>
              </w:tc>
              <w:tc>
                <w:tcPr>
                  <w:tcW w:w="5499"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生活垃圾集中收集交由环卫部门统一处置；实验室废料集中收集后收集后外售用于修筑道路；布袋除尘器收集的水泥粉尘，回用于生产；沉淀池沉渣经砂石分离后回用于生产；废布袋收集后由厂家回收。</w:t>
                  </w:r>
                </w:p>
              </w:tc>
              <w:tc>
                <w:tcPr>
                  <w:tcW w:w="1125" w:type="dxa"/>
                  <w:noWrap w:val="0"/>
                  <w:vAlign w:val="center"/>
                </w:tcPr>
                <w:p>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62" w:type="dxa"/>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025" w:type="dxa"/>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w:t>
                  </w:r>
                </w:p>
              </w:tc>
              <w:tc>
                <w:tcPr>
                  <w:tcW w:w="5499" w:type="dxa"/>
                  <w:noWrap w:val="0"/>
                  <w:vAlign w:val="center"/>
                </w:tcPr>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w:t>
                  </w:r>
                  <w:r>
                    <w:rPr>
                      <w:rFonts w:hint="eastAsia" w:cs="Times New Roman"/>
                      <w:color w:val="auto"/>
                      <w:sz w:val="21"/>
                      <w:szCs w:val="21"/>
                      <w:highlight w:val="none"/>
                      <w:lang w:eastAsia="zh-CN"/>
                    </w:rPr>
                    <w:t>减振降噪</w:t>
                  </w:r>
                  <w:r>
                    <w:rPr>
                      <w:rFonts w:hint="default" w:ascii="Times New Roman" w:hAnsi="Times New Roman" w:eastAsia="宋体" w:cs="Times New Roman"/>
                      <w:color w:val="auto"/>
                      <w:sz w:val="21"/>
                      <w:szCs w:val="21"/>
                      <w:highlight w:val="none"/>
                    </w:rPr>
                    <w:t>设备</w:t>
                  </w:r>
                  <w:r>
                    <w:rPr>
                      <w:rFonts w:hint="eastAsia" w:cs="Times New Roman"/>
                      <w:color w:val="auto"/>
                      <w:sz w:val="21"/>
                      <w:szCs w:val="21"/>
                      <w:highlight w:val="none"/>
                      <w:lang w:eastAsia="zh-CN"/>
                    </w:rPr>
                    <w:t>生产</w:t>
                  </w:r>
                  <w:r>
                    <w:rPr>
                      <w:rFonts w:hint="default" w:ascii="Times New Roman" w:hAnsi="Times New Roman" w:eastAsia="宋体" w:cs="Times New Roman"/>
                      <w:color w:val="auto"/>
                      <w:sz w:val="21"/>
                      <w:szCs w:val="21"/>
                      <w:highlight w:val="none"/>
                    </w:rPr>
                    <w:t>，通过厂房隔声、基础减振等措施。生产中产生的噪声通过厂房、厂区距离衰减后对外环境影响较小，厂界噪声可满足《工业企业厂界环境噪声排放标准》（GB12348-2008）表1中2</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4a类</w:t>
                  </w:r>
                  <w:r>
                    <w:rPr>
                      <w:rFonts w:hint="default" w:ascii="Times New Roman" w:hAnsi="Times New Roman" w:eastAsia="宋体" w:cs="Times New Roman"/>
                      <w:color w:val="auto"/>
                      <w:sz w:val="21"/>
                      <w:szCs w:val="21"/>
                      <w:highlight w:val="none"/>
                    </w:rPr>
                    <w:t>标准要求。</w:t>
                  </w:r>
                </w:p>
              </w:tc>
              <w:tc>
                <w:tcPr>
                  <w:tcW w:w="1125"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val="en-US" w:eastAsia="zh-CN"/>
                    </w:rPr>
                    <w:t>建</w:t>
                  </w:r>
                </w:p>
              </w:tc>
            </w:tr>
          </w:tbl>
          <w:p>
            <w:pPr>
              <w:spacing w:line="360" w:lineRule="auto"/>
              <w:ind w:firstLine="482" w:firstLineChars="200"/>
              <w:rPr>
                <w:b/>
                <w:color w:val="auto"/>
                <w:sz w:val="24"/>
                <w:highlight w:val="none"/>
              </w:rPr>
            </w:pPr>
            <w:r>
              <w:rPr>
                <w:rFonts w:hint="default" w:ascii="Times New Roman" w:hAnsi="Times New Roman" w:cs="Times New Roman"/>
                <w:b/>
                <w:color w:val="auto"/>
                <w:sz w:val="24"/>
                <w:highlight w:val="none"/>
                <w:lang w:val="en-US" w:eastAsia="zh-CN"/>
              </w:rPr>
              <w:t>3</w:t>
            </w:r>
            <w:r>
              <w:rPr>
                <w:b/>
                <w:color w:val="auto"/>
                <w:sz w:val="24"/>
                <w:highlight w:val="none"/>
              </w:rPr>
              <w:t>、主要设备</w:t>
            </w:r>
          </w:p>
          <w:p>
            <w:pPr>
              <w:widowControl/>
              <w:spacing w:line="360" w:lineRule="auto"/>
              <w:ind w:firstLine="480" w:firstLineChars="200"/>
              <w:jc w:val="left"/>
              <w:rPr>
                <w:color w:val="auto"/>
                <w:kern w:val="0"/>
                <w:sz w:val="24"/>
                <w:highlight w:val="none"/>
              </w:rPr>
            </w:pPr>
            <w:r>
              <w:rPr>
                <w:color w:val="auto"/>
                <w:kern w:val="0"/>
                <w:sz w:val="24"/>
                <w:highlight w:val="none"/>
              </w:rPr>
              <w:t>本项目主要设备清单见表</w:t>
            </w:r>
            <w:r>
              <w:rPr>
                <w:rFonts w:hint="default" w:ascii="Times New Roman" w:hAnsi="Times New Roman" w:cs="Times New Roman"/>
                <w:color w:val="auto"/>
                <w:kern w:val="0"/>
                <w:sz w:val="24"/>
                <w:highlight w:val="none"/>
              </w:rPr>
              <w:t>2</w:t>
            </w:r>
            <w:r>
              <w:rPr>
                <w:color w:val="auto"/>
                <w:kern w:val="0"/>
                <w:sz w:val="24"/>
                <w:highlight w:val="none"/>
              </w:rPr>
              <w:t>-</w:t>
            </w:r>
            <w:r>
              <w:rPr>
                <w:rFonts w:hint="default" w:ascii="Times New Roman" w:hAnsi="Times New Roman" w:cs="Times New Roman"/>
                <w:color w:val="auto"/>
                <w:kern w:val="0"/>
                <w:sz w:val="24"/>
                <w:highlight w:val="none"/>
                <w:lang w:val="en-US" w:eastAsia="zh-CN"/>
              </w:rPr>
              <w:t>2</w:t>
            </w:r>
            <w:r>
              <w:rPr>
                <w:color w:val="auto"/>
                <w:kern w:val="0"/>
                <w:sz w:val="24"/>
                <w:highlight w:val="none"/>
              </w:rPr>
              <w:t>。</w:t>
            </w:r>
          </w:p>
          <w:p>
            <w:pPr>
              <w:adjustRightInd w:val="0"/>
              <w:snapToGrid w:val="0"/>
              <w:jc w:val="center"/>
              <w:rPr>
                <w:rFonts w:ascii="Times New Roman" w:hAnsi="Times New Roman" w:eastAsia="宋体" w:cs="Times New Roman"/>
                <w:b/>
                <w:bCs/>
                <w:color w:val="auto"/>
                <w:kern w:val="0"/>
                <w:sz w:val="24"/>
                <w:highlight w:val="none"/>
              </w:rPr>
            </w:pPr>
            <w:r>
              <w:rPr>
                <w:rFonts w:ascii="Times New Roman" w:hAnsi="Times New Roman" w:eastAsia="宋体" w:cs="Times New Roman"/>
                <w:b/>
                <w:bCs/>
                <w:color w:val="auto"/>
                <w:kern w:val="0"/>
                <w:sz w:val="24"/>
                <w:highlight w:val="none"/>
              </w:rPr>
              <w:t>表</w:t>
            </w:r>
            <w:r>
              <w:rPr>
                <w:rFonts w:hint="default" w:ascii="Times New Roman" w:hAnsi="Times New Roman" w:eastAsia="宋体" w:cs="Times New Roman"/>
                <w:b/>
                <w:bCs/>
                <w:color w:val="auto"/>
                <w:kern w:val="0"/>
                <w:sz w:val="24"/>
                <w:highlight w:val="none"/>
              </w:rPr>
              <w:t>2</w:t>
            </w:r>
            <w:r>
              <w:rPr>
                <w:rFonts w:ascii="Times New Roman" w:hAnsi="Times New Roman" w:eastAsia="宋体" w:cs="Times New Roman"/>
                <w:b/>
                <w:bCs/>
                <w:color w:val="auto"/>
                <w:kern w:val="0"/>
                <w:sz w:val="24"/>
                <w:highlight w:val="none"/>
              </w:rPr>
              <w:t>-</w:t>
            </w:r>
            <w:r>
              <w:rPr>
                <w:rFonts w:hint="default" w:ascii="Times New Roman" w:hAnsi="Times New Roman" w:cs="Times New Roman"/>
                <w:b/>
                <w:bCs/>
                <w:color w:val="auto"/>
                <w:kern w:val="0"/>
                <w:sz w:val="24"/>
                <w:highlight w:val="none"/>
                <w:lang w:val="en-US" w:eastAsia="zh-CN"/>
              </w:rPr>
              <w:t>2</w:t>
            </w:r>
            <w:r>
              <w:rPr>
                <w:rFonts w:ascii="Times New Roman" w:hAnsi="Times New Roman" w:eastAsia="宋体" w:cs="Times New Roman"/>
                <w:b/>
                <w:bCs/>
                <w:color w:val="auto"/>
                <w:kern w:val="0"/>
                <w:sz w:val="24"/>
                <w:highlight w:val="none"/>
              </w:rPr>
              <w:t xml:space="preserve"> 主要设备清单表</w:t>
            </w:r>
          </w:p>
          <w:tbl>
            <w:tblPr>
              <w:tblStyle w:val="32"/>
              <w:tblW w:w="829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2"/>
              <w:gridCol w:w="2133"/>
              <w:gridCol w:w="1860"/>
              <w:gridCol w:w="1613"/>
              <w:gridCol w:w="19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30" w:hRule="atLeast"/>
                <w:jc w:val="center"/>
              </w:trPr>
              <w:tc>
                <w:tcPr>
                  <w:tcW w:w="792" w:type="dxa"/>
                  <w:noWrap/>
                  <w:vAlign w:val="center"/>
                </w:tcPr>
                <w:p>
                  <w:pP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2133" w:type="dxa"/>
                  <w:noWrap/>
                  <w:vAlign w:val="center"/>
                </w:tcPr>
                <w:p>
                  <w:pP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设备名称</w:t>
                  </w:r>
                </w:p>
              </w:tc>
              <w:tc>
                <w:tcPr>
                  <w:tcW w:w="1860" w:type="dxa"/>
                  <w:noWrap/>
                  <w:vAlign w:val="center"/>
                </w:tcPr>
                <w:p>
                  <w:pP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型号及规格</w:t>
                  </w:r>
                </w:p>
              </w:tc>
              <w:tc>
                <w:tcPr>
                  <w:tcW w:w="1613" w:type="dxa"/>
                  <w:noWrap/>
                  <w:vAlign w:val="center"/>
                </w:tcPr>
                <w:p>
                  <w:pP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数量</w:t>
                  </w:r>
                </w:p>
              </w:tc>
              <w:tc>
                <w:tcPr>
                  <w:tcW w:w="1900" w:type="dxa"/>
                  <w:noWrap/>
                  <w:vAlign w:val="center"/>
                </w:tcPr>
                <w:p>
                  <w:pPr>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92"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2133" w:type="dxa"/>
                  <w:noWrap/>
                  <w:vAlign w:val="top"/>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强制式搅拌机</w:t>
                  </w:r>
                </w:p>
              </w:tc>
              <w:tc>
                <w:tcPr>
                  <w:tcW w:w="186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1613"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1900" w:type="dxa"/>
                  <w:noWrap/>
                  <w:vAlign w:val="center"/>
                </w:tcPr>
                <w:p>
                  <w:pPr>
                    <w:spacing w:line="30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92"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2133" w:type="dxa"/>
                  <w:noWrap/>
                  <w:vAlign w:val="top"/>
                </w:tcPr>
                <w:p>
                  <w:pPr>
                    <w:spacing w:line="30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混凝土罐车</w:t>
                  </w:r>
                </w:p>
              </w:tc>
              <w:tc>
                <w:tcPr>
                  <w:tcW w:w="186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1613"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p>
              </w:tc>
              <w:tc>
                <w:tcPr>
                  <w:tcW w:w="1900" w:type="dxa"/>
                  <w:noWrap/>
                  <w:vAlign w:val="center"/>
                </w:tcPr>
                <w:p>
                  <w:pPr>
                    <w:spacing w:line="30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92"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p>
              </w:tc>
              <w:tc>
                <w:tcPr>
                  <w:tcW w:w="2133" w:type="dxa"/>
                  <w:noWrap/>
                  <w:vAlign w:val="top"/>
                </w:tcPr>
                <w:p>
                  <w:pPr>
                    <w:spacing w:line="30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水泥筒仓</w:t>
                  </w:r>
                </w:p>
              </w:tc>
              <w:tc>
                <w:tcPr>
                  <w:tcW w:w="186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300t</w:t>
                  </w:r>
                </w:p>
              </w:tc>
              <w:tc>
                <w:tcPr>
                  <w:tcW w:w="1613"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1900" w:type="dxa"/>
                  <w:noWrap/>
                  <w:vAlign w:val="center"/>
                </w:tcPr>
                <w:p>
                  <w:pPr>
                    <w:spacing w:line="300" w:lineRule="exac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92" w:type="dxa"/>
                  <w:noWrap/>
                  <w:vAlign w:val="center"/>
                </w:tcPr>
                <w:p>
                  <w:pPr>
                    <w:spacing w:line="300" w:lineRule="exac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4</w:t>
                  </w:r>
                </w:p>
              </w:tc>
              <w:tc>
                <w:tcPr>
                  <w:tcW w:w="2133" w:type="dxa"/>
                  <w:noWrap/>
                  <w:vAlign w:val="top"/>
                </w:tcPr>
                <w:p>
                  <w:pPr>
                    <w:spacing w:line="30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粉煤灰筒仓</w:t>
                  </w:r>
                </w:p>
              </w:tc>
              <w:tc>
                <w:tcPr>
                  <w:tcW w:w="1860" w:type="dxa"/>
                  <w:noWrap/>
                  <w:vAlign w:val="center"/>
                </w:tcPr>
                <w:p>
                  <w:pPr>
                    <w:spacing w:line="30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00t</w:t>
                  </w:r>
                </w:p>
              </w:tc>
              <w:tc>
                <w:tcPr>
                  <w:tcW w:w="1613" w:type="dxa"/>
                  <w:noWrap/>
                  <w:vAlign w:val="center"/>
                </w:tcPr>
                <w:p>
                  <w:pPr>
                    <w:spacing w:line="300" w:lineRule="exact"/>
                    <w:jc w:val="center"/>
                    <w:rPr>
                      <w:rFonts w:hint="default"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900" w:type="dxa"/>
                  <w:noWrap/>
                  <w:vAlign w:val="center"/>
                </w:tcPr>
                <w:p>
                  <w:pPr>
                    <w:spacing w:line="30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92" w:type="dxa"/>
                  <w:noWrap/>
                  <w:vAlign w:val="center"/>
                </w:tcPr>
                <w:p>
                  <w:pPr>
                    <w:spacing w:line="300" w:lineRule="exac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5</w:t>
                  </w:r>
                </w:p>
              </w:tc>
              <w:tc>
                <w:tcPr>
                  <w:tcW w:w="2133" w:type="dxa"/>
                  <w:noWrap/>
                  <w:vAlign w:val="top"/>
                </w:tcPr>
                <w:p>
                  <w:pPr>
                    <w:spacing w:line="30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外加剂储罐</w:t>
                  </w:r>
                </w:p>
              </w:tc>
              <w:tc>
                <w:tcPr>
                  <w:tcW w:w="1860" w:type="dxa"/>
                  <w:noWrap/>
                  <w:vAlign w:val="center"/>
                </w:tcPr>
                <w:p>
                  <w:pPr>
                    <w:spacing w:line="300" w:lineRule="exac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t</w:t>
                  </w:r>
                </w:p>
              </w:tc>
              <w:tc>
                <w:tcPr>
                  <w:tcW w:w="1613" w:type="dxa"/>
                  <w:noWrap/>
                  <w:vAlign w:val="center"/>
                </w:tcPr>
                <w:p>
                  <w:pPr>
                    <w:spacing w:line="300" w:lineRule="exact"/>
                    <w:jc w:val="center"/>
                    <w:rPr>
                      <w:rFonts w:hint="default"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900" w:type="dxa"/>
                  <w:noWrap/>
                  <w:vAlign w:val="center"/>
                </w:tcPr>
                <w:p>
                  <w:pPr>
                    <w:spacing w:line="30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92" w:type="dxa"/>
                  <w:noWrap/>
                  <w:vAlign w:val="center"/>
                </w:tcPr>
                <w:p>
                  <w:pPr>
                    <w:spacing w:line="300" w:lineRule="exac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6</w:t>
                  </w:r>
                </w:p>
              </w:tc>
              <w:tc>
                <w:tcPr>
                  <w:tcW w:w="2133" w:type="dxa"/>
                  <w:noWrap/>
                  <w:vAlign w:val="top"/>
                </w:tcPr>
                <w:p>
                  <w:pPr>
                    <w:spacing w:line="300" w:lineRule="exac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铲车</w:t>
                  </w:r>
                </w:p>
              </w:tc>
              <w:tc>
                <w:tcPr>
                  <w:tcW w:w="1860" w:type="dxa"/>
                  <w:noWrap/>
                  <w:vAlign w:val="center"/>
                </w:tcPr>
                <w:p>
                  <w:pPr>
                    <w:spacing w:line="300" w:lineRule="exact"/>
                    <w:jc w:val="center"/>
                    <w:rPr>
                      <w:rFonts w:hint="default" w:cs="Times New Roman"/>
                      <w:color w:val="auto"/>
                      <w:szCs w:val="21"/>
                      <w:highlight w:val="none"/>
                      <w:lang w:val="en-US" w:eastAsia="zh-CN"/>
                    </w:rPr>
                  </w:pPr>
                  <w:r>
                    <w:rPr>
                      <w:rFonts w:hint="eastAsia" w:cs="Times New Roman"/>
                      <w:color w:val="auto"/>
                      <w:szCs w:val="21"/>
                      <w:lang w:val="en-US" w:eastAsia="zh-CN"/>
                    </w:rPr>
                    <w:t>50/铲</w:t>
                  </w:r>
                </w:p>
              </w:tc>
              <w:tc>
                <w:tcPr>
                  <w:tcW w:w="1613" w:type="dxa"/>
                  <w:noWrap/>
                  <w:vAlign w:val="center"/>
                </w:tcPr>
                <w:p>
                  <w:pPr>
                    <w:spacing w:line="300" w:lineRule="exac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w:t>
                  </w:r>
                </w:p>
              </w:tc>
              <w:tc>
                <w:tcPr>
                  <w:tcW w:w="1900" w:type="dxa"/>
                  <w:noWrap/>
                  <w:vAlign w:val="center"/>
                </w:tcPr>
                <w:p>
                  <w:pPr>
                    <w:spacing w:line="30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92" w:type="dxa"/>
                  <w:noWrap/>
                  <w:vAlign w:val="center"/>
                </w:tcPr>
                <w:p>
                  <w:pPr>
                    <w:spacing w:line="300" w:lineRule="exac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7</w:t>
                  </w:r>
                </w:p>
              </w:tc>
              <w:tc>
                <w:tcPr>
                  <w:tcW w:w="2133" w:type="dxa"/>
                  <w:noWrap/>
                  <w:vAlign w:val="top"/>
                </w:tcPr>
                <w:p>
                  <w:pPr>
                    <w:spacing w:line="300" w:lineRule="exac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汽车衡</w:t>
                  </w:r>
                </w:p>
              </w:tc>
              <w:tc>
                <w:tcPr>
                  <w:tcW w:w="1860" w:type="dxa"/>
                  <w:noWrap/>
                  <w:vAlign w:val="center"/>
                </w:tcPr>
                <w:p>
                  <w:pPr>
                    <w:spacing w:line="300" w:lineRule="exact"/>
                    <w:jc w:val="center"/>
                    <w:rPr>
                      <w:rFonts w:hint="default" w:cs="Times New Roman"/>
                      <w:color w:val="auto"/>
                      <w:szCs w:val="21"/>
                      <w:highlight w:val="none"/>
                      <w:lang w:val="en-US" w:eastAsia="zh-CN"/>
                    </w:rPr>
                  </w:pPr>
                  <w:r>
                    <w:rPr>
                      <w:rFonts w:hint="eastAsia" w:cs="Times New Roman"/>
                      <w:color w:val="auto"/>
                      <w:szCs w:val="21"/>
                      <w:lang w:val="en-US" w:eastAsia="zh-CN"/>
                    </w:rPr>
                    <w:t>100/吨</w:t>
                  </w:r>
                </w:p>
              </w:tc>
              <w:tc>
                <w:tcPr>
                  <w:tcW w:w="1613" w:type="dxa"/>
                  <w:noWrap/>
                  <w:vAlign w:val="center"/>
                </w:tcPr>
                <w:p>
                  <w:pPr>
                    <w:spacing w:line="300" w:lineRule="exact"/>
                    <w:jc w:val="center"/>
                    <w:rPr>
                      <w:rFonts w:hint="default"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900" w:type="dxa"/>
                  <w:noWrap/>
                  <w:vAlign w:val="center"/>
                </w:tcPr>
                <w:p>
                  <w:pPr>
                    <w:spacing w:line="30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个</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color w:val="auto"/>
                <w:sz w:val="24"/>
                <w:highlight w:val="none"/>
                <w:lang w:eastAsia="zh-CN"/>
              </w:rPr>
            </w:pPr>
            <w:r>
              <w:rPr>
                <w:rFonts w:hint="default" w:ascii="Times New Roman" w:hAnsi="Times New Roman" w:cs="Times New Roman"/>
                <w:b/>
                <w:color w:val="auto"/>
                <w:sz w:val="24"/>
                <w:highlight w:val="none"/>
                <w:lang w:val="en-US" w:eastAsia="zh-CN"/>
              </w:rPr>
              <w:t>4</w:t>
            </w:r>
            <w:r>
              <w:rPr>
                <w:rFonts w:hint="eastAsia" w:ascii="Times New Roman" w:hAnsi="Times New Roman" w:eastAsia="宋体" w:cs="Times New Roman"/>
                <w:b/>
                <w:color w:val="auto"/>
                <w:sz w:val="24"/>
                <w:highlight w:val="none"/>
                <w:lang w:eastAsia="zh-CN"/>
              </w:rPr>
              <w:t>、原辅材料及用量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rPr>
            </w:pPr>
            <w:r>
              <w:rPr>
                <w:rFonts w:hint="default"/>
                <w:color w:val="auto"/>
                <w:sz w:val="24"/>
                <w:szCs w:val="24"/>
                <w:highlight w:val="none"/>
              </w:rPr>
              <w:t>本项目主要原、辅材料消耗量见</w:t>
            </w:r>
            <w:r>
              <w:rPr>
                <w:color w:val="auto"/>
                <w:sz w:val="24"/>
                <w:szCs w:val="24"/>
                <w:highlight w:val="none"/>
              </w:rPr>
              <w:t>下表</w:t>
            </w:r>
            <w:r>
              <w:rPr>
                <w:rFonts w:hint="default"/>
                <w:color w:val="auto"/>
                <w:sz w:val="24"/>
                <w:szCs w:val="24"/>
                <w:highlight w:val="none"/>
              </w:rPr>
              <w:t>。</w:t>
            </w:r>
          </w:p>
          <w:p>
            <w:pPr>
              <w:adjustRightInd w:val="0"/>
              <w:snapToGrid w:val="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表2-</w:t>
            </w:r>
            <w:r>
              <w:rPr>
                <w:rFonts w:hint="default" w:ascii="Times New Roman" w:hAnsi="Times New Roman" w:cs="Times New Roman"/>
                <w:b/>
                <w:bCs/>
                <w:color w:val="auto"/>
                <w:kern w:val="0"/>
                <w:sz w:val="24"/>
                <w:highlight w:val="none"/>
                <w:lang w:val="en-US" w:eastAsia="zh-CN"/>
              </w:rPr>
              <w:t>3</w:t>
            </w:r>
            <w:r>
              <w:rPr>
                <w:rFonts w:hint="default" w:ascii="Times New Roman" w:hAnsi="Times New Roman" w:eastAsia="宋体" w:cs="Times New Roman"/>
                <w:b/>
                <w:bCs/>
                <w:color w:val="auto"/>
                <w:kern w:val="0"/>
                <w:sz w:val="24"/>
                <w:highlight w:val="none"/>
              </w:rPr>
              <w:t xml:space="preserve"> 项目原辅材料消耗情况一览表</w:t>
            </w:r>
          </w:p>
          <w:tbl>
            <w:tblPr>
              <w:tblStyle w:val="32"/>
              <w:tblW w:w="825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571"/>
              <w:gridCol w:w="1819"/>
              <w:gridCol w:w="1835"/>
              <w:gridCol w:w="21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5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材料</w:t>
                  </w:r>
                </w:p>
              </w:tc>
              <w:tc>
                <w:tcPr>
                  <w:tcW w:w="1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年消耗量</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t</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a</w:t>
                  </w:r>
                  <w:r>
                    <w:rPr>
                      <w:rFonts w:hint="eastAsia" w:ascii="Times New Roman" w:hAnsi="Times New Roman" w:eastAsia="宋体" w:cs="Times New Roman"/>
                      <w:color w:val="auto"/>
                      <w:sz w:val="21"/>
                      <w:szCs w:val="21"/>
                      <w:lang w:eastAsia="zh-CN"/>
                    </w:rPr>
                    <w:t>）</w:t>
                  </w:r>
                </w:p>
              </w:tc>
              <w:tc>
                <w:tcPr>
                  <w:tcW w:w="18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储存方式</w:t>
                  </w:r>
                </w:p>
              </w:tc>
              <w:tc>
                <w:tcPr>
                  <w:tcW w:w="2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8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571" w:type="dxa"/>
                  <w:tcBorders>
                    <w:tl2br w:val="nil"/>
                    <w:tr2bl w:val="nil"/>
                  </w:tcBorders>
                  <w:shd w:val="clear" w:color="auto" w:fill="auto"/>
                  <w:noWrap w:val="0"/>
                  <w:vAlign w:val="top"/>
                </w:tcPr>
                <w:p>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Cs w:val="21"/>
                      <w:highlight w:val="none"/>
                    </w:rPr>
                    <w:t>水泥</w:t>
                  </w:r>
                </w:p>
              </w:tc>
              <w:tc>
                <w:tcPr>
                  <w:tcW w:w="18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7700</w:t>
                  </w:r>
                </w:p>
              </w:tc>
              <w:tc>
                <w:tcPr>
                  <w:tcW w:w="183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储存罐</w:t>
                  </w:r>
                </w:p>
              </w:tc>
              <w:tc>
                <w:tcPr>
                  <w:tcW w:w="2142" w:type="dxa"/>
                  <w:tcBorders>
                    <w:tl2br w:val="nil"/>
                    <w:tr2bl w:val="nil"/>
                  </w:tcBorders>
                  <w:noWrap w:val="0"/>
                  <w:vAlign w:val="center"/>
                </w:tcPr>
                <w:p>
                  <w:pPr>
                    <w:snapToGrid w:val="0"/>
                    <w:spacing w:line="0" w:lineRule="atLeast"/>
                    <w:jc w:val="center"/>
                    <w:rPr>
                      <w:rFonts w:hint="default" w:ascii="Times New Roman" w:hAnsi="Times New Roman" w:eastAsia="宋体" w:cs="Times New Roman"/>
                      <w:color w:val="auto"/>
                      <w:sz w:val="21"/>
                      <w:szCs w:val="21"/>
                      <w:lang w:val="en-US" w:eastAsia="zh-CN"/>
                    </w:rPr>
                  </w:pPr>
                  <w:r>
                    <w:rPr>
                      <w:color w:val="auto"/>
                      <w:szCs w:val="21"/>
                      <w:highlight w:val="none"/>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571" w:type="dxa"/>
                  <w:tcBorders>
                    <w:tl2br w:val="nil"/>
                    <w:tr2bl w:val="nil"/>
                  </w:tcBorders>
                  <w:shd w:val="clear" w:color="auto" w:fill="auto"/>
                  <w:noWrap w:val="0"/>
                  <w:vAlign w:val="top"/>
                </w:tcPr>
                <w:p>
                  <w:pPr>
                    <w:autoSpaceDE w:val="0"/>
                    <w:autoSpaceDN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Cs w:val="21"/>
                      <w:highlight w:val="none"/>
                    </w:rPr>
                    <w:t>粉煤灰</w:t>
                  </w:r>
                </w:p>
              </w:tc>
              <w:tc>
                <w:tcPr>
                  <w:tcW w:w="18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650</w:t>
                  </w:r>
                </w:p>
              </w:tc>
              <w:tc>
                <w:tcPr>
                  <w:tcW w:w="183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水泥筒仓</w:t>
                  </w:r>
                </w:p>
              </w:tc>
              <w:tc>
                <w:tcPr>
                  <w:tcW w:w="2142" w:type="dxa"/>
                  <w:tcBorders>
                    <w:tl2br w:val="nil"/>
                    <w:tr2bl w:val="nil"/>
                  </w:tcBorders>
                  <w:noWrap w:val="0"/>
                  <w:vAlign w:val="center"/>
                </w:tcPr>
                <w:p>
                  <w:pPr>
                    <w:snapToGrid w:val="0"/>
                    <w:spacing w:line="0" w:lineRule="atLeast"/>
                    <w:jc w:val="center"/>
                    <w:rPr>
                      <w:rFonts w:hint="default" w:ascii="Times New Roman" w:hAnsi="Times New Roman" w:eastAsia="宋体" w:cs="Times New Roman"/>
                      <w:color w:val="auto"/>
                      <w:sz w:val="21"/>
                      <w:szCs w:val="21"/>
                      <w:lang w:val="en-US" w:eastAsia="zh-CN"/>
                    </w:rPr>
                  </w:pPr>
                  <w:r>
                    <w:rPr>
                      <w:color w:val="auto"/>
                      <w:szCs w:val="21"/>
                      <w:highlight w:val="none"/>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571" w:type="dxa"/>
                  <w:tcBorders>
                    <w:tl2br w:val="nil"/>
                    <w:tr2bl w:val="nil"/>
                  </w:tcBorders>
                  <w:shd w:val="clear" w:color="auto" w:fill="auto"/>
                  <w:noWrap w:val="0"/>
                  <w:vAlign w:val="top"/>
                </w:tcPr>
                <w:p>
                  <w:pPr>
                    <w:autoSpaceDE w:val="0"/>
                    <w:autoSpaceDN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Cs w:val="21"/>
                      <w:highlight w:val="none"/>
                    </w:rPr>
                    <w:t>砂</w:t>
                  </w:r>
                </w:p>
              </w:tc>
              <w:tc>
                <w:tcPr>
                  <w:tcW w:w="18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11673</w:t>
                  </w:r>
                </w:p>
              </w:tc>
              <w:tc>
                <w:tcPr>
                  <w:tcW w:w="1835"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粉煤灰筒仓</w:t>
                  </w:r>
                </w:p>
              </w:tc>
              <w:tc>
                <w:tcPr>
                  <w:tcW w:w="2142" w:type="dxa"/>
                  <w:tcBorders>
                    <w:tl2br w:val="nil"/>
                    <w:tr2bl w:val="nil"/>
                  </w:tcBorders>
                  <w:noWrap w:val="0"/>
                  <w:vAlign w:val="center"/>
                </w:tcPr>
                <w:p>
                  <w:pPr>
                    <w:snapToGrid w:val="0"/>
                    <w:spacing w:line="0" w:lineRule="atLeast"/>
                    <w:jc w:val="center"/>
                    <w:rPr>
                      <w:rFonts w:hint="default" w:ascii="Times New Roman" w:hAnsi="Times New Roman" w:eastAsia="宋体" w:cs="Times New Roman"/>
                      <w:color w:val="auto"/>
                      <w:sz w:val="21"/>
                      <w:szCs w:val="21"/>
                      <w:lang w:val="en-US" w:eastAsia="zh-CN"/>
                    </w:rPr>
                  </w:pPr>
                  <w:r>
                    <w:rPr>
                      <w:color w:val="auto"/>
                      <w:szCs w:val="21"/>
                      <w:highlight w:val="none"/>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571" w:type="dxa"/>
                  <w:tcBorders>
                    <w:tl2br w:val="nil"/>
                    <w:tr2bl w:val="nil"/>
                  </w:tcBorders>
                  <w:shd w:val="clear" w:color="auto" w:fill="auto"/>
                  <w:noWrap w:val="0"/>
                  <w:vAlign w:val="center"/>
                </w:tcPr>
                <w:p>
                  <w:pPr>
                    <w:autoSpaceDE w:val="0"/>
                    <w:autoSpaceDN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Cs w:val="21"/>
                      <w:highlight w:val="none"/>
                    </w:rPr>
                    <w:t>碎石</w:t>
                  </w:r>
                </w:p>
              </w:tc>
              <w:tc>
                <w:tcPr>
                  <w:tcW w:w="18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15522</w:t>
                  </w:r>
                </w:p>
              </w:tc>
              <w:tc>
                <w:tcPr>
                  <w:tcW w:w="183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厂区</w:t>
                  </w:r>
                </w:p>
              </w:tc>
              <w:tc>
                <w:tcPr>
                  <w:tcW w:w="2142" w:type="dxa"/>
                  <w:tcBorders>
                    <w:tl2br w:val="nil"/>
                    <w:tr2bl w:val="nil"/>
                  </w:tcBorders>
                  <w:noWrap w:val="0"/>
                  <w:vAlign w:val="center"/>
                </w:tcPr>
                <w:p>
                  <w:pPr>
                    <w:snapToGrid w:val="0"/>
                    <w:spacing w:line="0" w:lineRule="atLeast"/>
                    <w:jc w:val="center"/>
                    <w:rPr>
                      <w:rFonts w:hint="eastAsia" w:ascii="Times New Roman" w:hAnsi="Times New Roman" w:eastAsia="宋体" w:cs="Times New Roman"/>
                      <w:color w:val="auto"/>
                      <w:sz w:val="21"/>
                      <w:szCs w:val="21"/>
                      <w:lang w:val="en-US" w:eastAsia="zh-CN"/>
                    </w:rPr>
                  </w:pPr>
                  <w:r>
                    <w:rPr>
                      <w:color w:val="auto"/>
                      <w:szCs w:val="21"/>
                      <w:highlight w:val="none"/>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571" w:type="dxa"/>
                  <w:tcBorders>
                    <w:tl2br w:val="nil"/>
                    <w:tr2bl w:val="nil"/>
                  </w:tcBorders>
                  <w:shd w:val="clear" w:color="auto" w:fill="auto"/>
                  <w:noWrap w:val="0"/>
                  <w:vAlign w:val="top"/>
                </w:tcPr>
                <w:p>
                  <w:pPr>
                    <w:autoSpaceDE w:val="0"/>
                    <w:autoSpaceDN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Cs w:val="21"/>
                      <w:highlight w:val="none"/>
                    </w:rPr>
                    <w:t>防冻剂</w:t>
                  </w:r>
                </w:p>
              </w:tc>
              <w:tc>
                <w:tcPr>
                  <w:tcW w:w="18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w:t>
                  </w:r>
                </w:p>
              </w:tc>
              <w:tc>
                <w:tcPr>
                  <w:tcW w:w="1835"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储存罐</w:t>
                  </w:r>
                </w:p>
              </w:tc>
              <w:tc>
                <w:tcPr>
                  <w:tcW w:w="2142" w:type="dxa"/>
                  <w:tcBorders>
                    <w:tl2br w:val="nil"/>
                    <w:tr2bl w:val="nil"/>
                  </w:tcBorders>
                  <w:noWrap w:val="0"/>
                  <w:vAlign w:val="center"/>
                </w:tcPr>
                <w:p>
                  <w:pPr>
                    <w:snapToGrid w:val="0"/>
                    <w:spacing w:line="0" w:lineRule="atLeast"/>
                    <w:jc w:val="center"/>
                    <w:rPr>
                      <w:rFonts w:hint="default" w:ascii="Times New Roman" w:hAnsi="Times New Roman" w:eastAsia="宋体" w:cs="Times New Roman"/>
                      <w:color w:val="auto"/>
                      <w:sz w:val="21"/>
                      <w:szCs w:val="21"/>
                      <w:lang w:val="en-US" w:eastAsia="zh-CN"/>
                    </w:rPr>
                  </w:pPr>
                  <w:r>
                    <w:rPr>
                      <w:color w:val="auto"/>
                      <w:szCs w:val="21"/>
                      <w:highlight w:val="none"/>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571" w:type="dxa"/>
                  <w:tcBorders>
                    <w:tl2br w:val="nil"/>
                    <w:tr2bl w:val="nil"/>
                  </w:tcBorders>
                  <w:shd w:val="clear" w:color="auto" w:fill="auto"/>
                  <w:noWrap w:val="0"/>
                  <w:vAlign w:val="top"/>
                </w:tcPr>
                <w:p>
                  <w:pPr>
                    <w:autoSpaceDE w:val="0"/>
                    <w:autoSpaceDN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Cs w:val="21"/>
                      <w:highlight w:val="none"/>
                      <w:lang w:eastAsia="zh-CN"/>
                    </w:rPr>
                    <w:t>水</w:t>
                  </w:r>
                </w:p>
              </w:tc>
              <w:tc>
                <w:tcPr>
                  <w:tcW w:w="181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37815</w:t>
                  </w:r>
                </w:p>
              </w:tc>
              <w:tc>
                <w:tcPr>
                  <w:tcW w:w="1835"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储存罐</w:t>
                  </w:r>
                </w:p>
              </w:tc>
              <w:tc>
                <w:tcPr>
                  <w:tcW w:w="2142" w:type="dxa"/>
                  <w:tcBorders>
                    <w:tl2br w:val="nil"/>
                    <w:tr2bl w:val="nil"/>
                  </w:tcBorders>
                  <w:noWrap w:val="0"/>
                  <w:vAlign w:val="center"/>
                </w:tcPr>
                <w:p>
                  <w:pPr>
                    <w:snapToGrid w:val="0"/>
                    <w:spacing w:line="0" w:lineRule="atLeast"/>
                    <w:jc w:val="center"/>
                    <w:rPr>
                      <w:rFonts w:hint="eastAsia" w:ascii="Times New Roman" w:hAnsi="Times New Roman" w:eastAsia="宋体" w:cs="Times New Roman"/>
                      <w:color w:val="auto"/>
                      <w:sz w:val="21"/>
                      <w:szCs w:val="21"/>
                      <w:lang w:val="en-US" w:eastAsia="zh-CN"/>
                    </w:rPr>
                  </w:pPr>
                  <w:r>
                    <w:rPr>
                      <w:color w:val="auto"/>
                      <w:szCs w:val="21"/>
                      <w:highlight w:val="none"/>
                    </w:rPr>
                    <w:t>外购</w:t>
                  </w:r>
                </w:p>
              </w:tc>
            </w:tr>
          </w:tbl>
          <w:p>
            <w:pPr>
              <w:pStyle w:val="81"/>
              <w:spacing w:line="360" w:lineRule="auto"/>
              <w:ind w:firstLine="480"/>
              <w:rPr>
                <w:rFonts w:hint="default"/>
                <w:color w:val="auto"/>
                <w:highlight w:val="none"/>
              </w:rPr>
            </w:pPr>
            <w:r>
              <w:rPr>
                <w:color w:val="auto"/>
                <w:szCs w:val="24"/>
                <w:highlight w:val="none"/>
              </w:rPr>
              <w:t>本项目</w:t>
            </w:r>
            <w:r>
              <w:rPr>
                <w:rFonts w:hint="default"/>
                <w:color w:val="auto"/>
                <w:szCs w:val="24"/>
                <w:highlight w:val="none"/>
              </w:rPr>
              <w:t>原辅材料理化性质见</w:t>
            </w:r>
            <w:r>
              <w:rPr>
                <w:color w:val="auto"/>
                <w:szCs w:val="24"/>
                <w:highlight w:val="none"/>
              </w:rPr>
              <w:t>下表</w:t>
            </w:r>
          </w:p>
          <w:p>
            <w:pPr>
              <w:pStyle w:val="73"/>
              <w:ind w:firstLine="420"/>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表2-</w:t>
            </w:r>
            <w:r>
              <w:rPr>
                <w:rFonts w:hint="default" w:ascii="Times New Roman" w:hAnsi="Times New Roman" w:cs="Times New Roman"/>
                <w:b/>
                <w:bCs w:val="0"/>
                <w:color w:val="auto"/>
                <w:kern w:val="2"/>
                <w:sz w:val="24"/>
                <w:szCs w:val="24"/>
                <w:highlight w:val="none"/>
                <w:lang w:val="en-US" w:eastAsia="zh-CN" w:bidi="ar-SA"/>
              </w:rPr>
              <w:t>4</w:t>
            </w:r>
            <w:r>
              <w:rPr>
                <w:rFonts w:hint="default" w:ascii="Times New Roman" w:hAnsi="Times New Roman" w:eastAsia="宋体" w:cs="Times New Roman"/>
                <w:b/>
                <w:bCs w:val="0"/>
                <w:color w:val="auto"/>
                <w:kern w:val="2"/>
                <w:sz w:val="24"/>
                <w:szCs w:val="24"/>
                <w:highlight w:val="none"/>
                <w:lang w:val="en-US" w:eastAsia="zh-CN" w:bidi="ar-SA"/>
              </w:rPr>
              <w:t xml:space="preserve"> 原材料主要理化性质一览表</w:t>
            </w:r>
          </w:p>
          <w:tbl>
            <w:tblPr>
              <w:tblStyle w:val="32"/>
              <w:tblW w:w="807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084"/>
              <w:gridCol w:w="62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24" w:type="dxa"/>
                  <w:vAlign w:val="center"/>
                </w:tcPr>
                <w:p>
                  <w:pPr>
                    <w:contextualSpacing/>
                    <w:jc w:val="center"/>
                    <w:rPr>
                      <w:rFonts w:hint="default"/>
                      <w:snapToGrid w:val="0"/>
                      <w:color w:val="auto"/>
                      <w:szCs w:val="21"/>
                      <w:highlight w:val="none"/>
                    </w:rPr>
                  </w:pPr>
                  <w:r>
                    <w:rPr>
                      <w:snapToGrid w:val="0"/>
                      <w:color w:val="auto"/>
                      <w:szCs w:val="21"/>
                      <w:highlight w:val="none"/>
                    </w:rPr>
                    <w:t>序号</w:t>
                  </w:r>
                </w:p>
              </w:tc>
              <w:tc>
                <w:tcPr>
                  <w:tcW w:w="1084" w:type="dxa"/>
                  <w:vAlign w:val="center"/>
                </w:tcPr>
                <w:p>
                  <w:pPr>
                    <w:contextualSpacing/>
                    <w:jc w:val="center"/>
                    <w:rPr>
                      <w:rFonts w:hint="default"/>
                      <w:snapToGrid w:val="0"/>
                      <w:color w:val="auto"/>
                      <w:szCs w:val="21"/>
                      <w:highlight w:val="none"/>
                    </w:rPr>
                  </w:pPr>
                  <w:r>
                    <w:rPr>
                      <w:snapToGrid w:val="0"/>
                      <w:color w:val="auto"/>
                      <w:szCs w:val="21"/>
                      <w:highlight w:val="none"/>
                    </w:rPr>
                    <w:t>名称</w:t>
                  </w:r>
                </w:p>
              </w:tc>
              <w:tc>
                <w:tcPr>
                  <w:tcW w:w="6269" w:type="dxa"/>
                  <w:vAlign w:val="center"/>
                </w:tcPr>
                <w:p>
                  <w:pPr>
                    <w:contextualSpacing/>
                    <w:jc w:val="center"/>
                    <w:rPr>
                      <w:rFonts w:hint="default"/>
                      <w:snapToGrid w:val="0"/>
                      <w:color w:val="auto"/>
                      <w:szCs w:val="21"/>
                      <w:highlight w:val="none"/>
                    </w:rPr>
                  </w:pPr>
                  <w:r>
                    <w:rPr>
                      <w:snapToGrid w:val="0"/>
                      <w:color w:val="auto"/>
                      <w:szCs w:val="21"/>
                      <w:highlight w:val="none"/>
                    </w:rPr>
                    <w:t>主要理化性质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24" w:type="dxa"/>
                  <w:vAlign w:val="center"/>
                </w:tcPr>
                <w:p>
                  <w:pPr>
                    <w:pStyle w:val="76"/>
                    <w:spacing w:line="240" w:lineRule="auto"/>
                    <w:rPr>
                      <w:rFonts w:hint="default"/>
                      <w:snapToGrid w:val="0"/>
                      <w:color w:val="auto"/>
                      <w:highlight w:val="none"/>
                    </w:rPr>
                  </w:pPr>
                  <w:r>
                    <w:rPr>
                      <w:rFonts w:hint="default" w:ascii="Times New Roman" w:hAnsi="Times New Roman" w:cs="Times New Roman"/>
                      <w:snapToGrid w:val="0"/>
                      <w:color w:val="auto"/>
                      <w:highlight w:val="none"/>
                    </w:rPr>
                    <w:t>1</w:t>
                  </w:r>
                </w:p>
              </w:tc>
              <w:tc>
                <w:tcPr>
                  <w:tcW w:w="1084" w:type="dxa"/>
                  <w:vAlign w:val="center"/>
                </w:tcPr>
                <w:p>
                  <w:pPr>
                    <w:contextualSpacing/>
                    <w:jc w:val="center"/>
                    <w:rPr>
                      <w:rFonts w:hint="default"/>
                      <w:snapToGrid w:val="0"/>
                      <w:color w:val="auto"/>
                      <w:szCs w:val="21"/>
                      <w:highlight w:val="none"/>
                    </w:rPr>
                  </w:pPr>
                  <w:r>
                    <w:rPr>
                      <w:color w:val="auto"/>
                      <w:highlight w:val="none"/>
                    </w:rPr>
                    <w:t>水泥</w:t>
                  </w:r>
                </w:p>
              </w:tc>
              <w:tc>
                <w:tcPr>
                  <w:tcW w:w="6269" w:type="dxa"/>
                  <w:vAlign w:val="center"/>
                </w:tcPr>
                <w:p>
                  <w:pPr>
                    <w:pStyle w:val="81"/>
                    <w:spacing w:line="240" w:lineRule="auto"/>
                    <w:ind w:firstLine="0" w:firstLineChars="0"/>
                    <w:rPr>
                      <w:rFonts w:hint="default"/>
                      <w:color w:val="auto"/>
                      <w:sz w:val="21"/>
                      <w:highlight w:val="none"/>
                    </w:rPr>
                  </w:pPr>
                  <w:r>
                    <w:rPr>
                      <w:color w:val="auto"/>
                      <w:sz w:val="21"/>
                      <w:highlight w:val="none"/>
                    </w:rPr>
                    <w:t>主要成分为硅酸三钙</w:t>
                  </w:r>
                  <w:r>
                    <w:rPr>
                      <w:rFonts w:hint="default" w:ascii="Times New Roman" w:hAnsi="Times New Roman" w:cs="Times New Roman"/>
                      <w:color w:val="auto"/>
                      <w:sz w:val="21"/>
                      <w:highlight w:val="none"/>
                    </w:rPr>
                    <w:t>3CaO</w:t>
                  </w:r>
                  <w:r>
                    <w:rPr>
                      <w:color w:val="auto"/>
                      <w:sz w:val="21"/>
                      <w:highlight w:val="none"/>
                    </w:rPr>
                    <w:t>·</w:t>
                  </w:r>
                  <w:r>
                    <w:rPr>
                      <w:rFonts w:hint="default" w:ascii="Times New Roman" w:hAnsi="Times New Roman" w:cs="Times New Roman"/>
                      <w:color w:val="auto"/>
                      <w:sz w:val="21"/>
                      <w:highlight w:val="none"/>
                    </w:rPr>
                    <w:t>SiO</w:t>
                  </w:r>
                  <w:r>
                    <w:rPr>
                      <w:rFonts w:hint="default" w:ascii="Times New Roman" w:hAnsi="Times New Roman" w:cs="Times New Roman"/>
                      <w:color w:val="auto"/>
                      <w:sz w:val="21"/>
                      <w:highlight w:val="none"/>
                      <w:vertAlign w:val="subscript"/>
                    </w:rPr>
                    <w:t>2</w:t>
                  </w:r>
                  <w:r>
                    <w:rPr>
                      <w:color w:val="auto"/>
                      <w:sz w:val="21"/>
                      <w:highlight w:val="none"/>
                    </w:rPr>
                    <w:t>、硅酸二钙</w:t>
                  </w:r>
                  <w:r>
                    <w:rPr>
                      <w:rFonts w:hint="default" w:ascii="Times New Roman" w:hAnsi="Times New Roman" w:cs="Times New Roman"/>
                      <w:color w:val="auto"/>
                      <w:sz w:val="21"/>
                      <w:highlight w:val="none"/>
                    </w:rPr>
                    <w:t>2CaO</w:t>
                  </w:r>
                  <w:r>
                    <w:rPr>
                      <w:color w:val="auto"/>
                      <w:sz w:val="21"/>
                      <w:highlight w:val="none"/>
                    </w:rPr>
                    <w:t>·</w:t>
                  </w:r>
                  <w:r>
                    <w:rPr>
                      <w:rFonts w:hint="default" w:ascii="Times New Roman" w:hAnsi="Times New Roman" w:cs="Times New Roman"/>
                      <w:color w:val="auto"/>
                      <w:sz w:val="21"/>
                      <w:highlight w:val="none"/>
                    </w:rPr>
                    <w:t>SiO</w:t>
                  </w:r>
                  <w:r>
                    <w:rPr>
                      <w:rFonts w:hint="default" w:ascii="Times New Roman" w:hAnsi="Times New Roman" w:cs="Times New Roman"/>
                      <w:color w:val="auto"/>
                      <w:sz w:val="21"/>
                      <w:highlight w:val="none"/>
                      <w:vertAlign w:val="subscript"/>
                    </w:rPr>
                    <w:t>2</w:t>
                  </w:r>
                  <w:r>
                    <w:rPr>
                      <w:color w:val="auto"/>
                      <w:sz w:val="21"/>
                      <w:highlight w:val="none"/>
                    </w:rPr>
                    <w:t>、铝酸三钙</w:t>
                  </w:r>
                  <w:r>
                    <w:rPr>
                      <w:rFonts w:hint="default" w:ascii="Times New Roman" w:hAnsi="Times New Roman" w:cs="Times New Roman"/>
                      <w:color w:val="auto"/>
                      <w:sz w:val="21"/>
                      <w:highlight w:val="none"/>
                    </w:rPr>
                    <w:t>3CaO</w:t>
                  </w:r>
                  <w:r>
                    <w:rPr>
                      <w:color w:val="auto"/>
                      <w:sz w:val="21"/>
                      <w:highlight w:val="none"/>
                    </w:rPr>
                    <w:t>·</w:t>
                  </w:r>
                  <w:r>
                    <w:rPr>
                      <w:rFonts w:hint="default" w:ascii="Times New Roman" w:hAnsi="Times New Roman" w:cs="Times New Roman"/>
                      <w:color w:val="auto"/>
                      <w:sz w:val="21"/>
                      <w:highlight w:val="none"/>
                    </w:rPr>
                    <w:t>Al</w:t>
                  </w:r>
                  <w:r>
                    <w:rPr>
                      <w:rFonts w:hint="default" w:ascii="Times New Roman" w:hAnsi="Times New Roman" w:cs="Times New Roman"/>
                      <w:color w:val="auto"/>
                      <w:sz w:val="21"/>
                      <w:highlight w:val="none"/>
                      <w:vertAlign w:val="subscript"/>
                    </w:rPr>
                    <w:t>2</w:t>
                  </w:r>
                  <w:r>
                    <w:rPr>
                      <w:rFonts w:hint="default" w:ascii="Times New Roman" w:hAnsi="Times New Roman" w:cs="Times New Roman"/>
                      <w:color w:val="auto"/>
                      <w:sz w:val="21"/>
                      <w:highlight w:val="none"/>
                    </w:rPr>
                    <w:t>O</w:t>
                  </w:r>
                  <w:r>
                    <w:rPr>
                      <w:rFonts w:hint="default" w:ascii="Times New Roman" w:hAnsi="Times New Roman" w:cs="Times New Roman"/>
                      <w:color w:val="auto"/>
                      <w:sz w:val="21"/>
                      <w:highlight w:val="none"/>
                      <w:vertAlign w:val="subscript"/>
                    </w:rPr>
                    <w:t>3</w:t>
                  </w:r>
                  <w:r>
                    <w:rPr>
                      <w:color w:val="auto"/>
                      <w:sz w:val="21"/>
                      <w:highlight w:val="none"/>
                    </w:rPr>
                    <w:t>和石膏等成分，其质量要求满足《通用硅酸盐水泥》（</w:t>
                  </w:r>
                  <w:r>
                    <w:rPr>
                      <w:rFonts w:hint="default" w:ascii="Times New Roman" w:hAnsi="Times New Roman" w:cs="Times New Roman"/>
                      <w:color w:val="auto"/>
                      <w:sz w:val="21"/>
                      <w:highlight w:val="none"/>
                    </w:rPr>
                    <w:t>GB175</w:t>
                  </w:r>
                  <w:r>
                    <w:rPr>
                      <w:color w:val="auto"/>
                      <w:sz w:val="21"/>
                      <w:highlight w:val="none"/>
                    </w:rPr>
                    <w:t>-</w:t>
                  </w:r>
                  <w:r>
                    <w:rPr>
                      <w:rFonts w:hint="default" w:ascii="Times New Roman" w:hAnsi="Times New Roman" w:cs="Times New Roman"/>
                      <w:color w:val="auto"/>
                      <w:sz w:val="21"/>
                      <w:highlight w:val="none"/>
                    </w:rPr>
                    <w:t>2007</w:t>
                  </w:r>
                  <w:r>
                    <w:rPr>
                      <w:color w:val="auto"/>
                      <w:sz w:val="21"/>
                      <w:highlight w:val="none"/>
                    </w:rPr>
                    <w:t>）标准。密度为</w:t>
                  </w:r>
                  <w:r>
                    <w:rPr>
                      <w:rFonts w:hint="default" w:ascii="Times New Roman" w:hAnsi="Times New Roman" w:cs="Times New Roman"/>
                      <w:color w:val="auto"/>
                      <w:sz w:val="21"/>
                      <w:highlight w:val="none"/>
                    </w:rPr>
                    <w:t>0</w:t>
                  </w:r>
                  <w:r>
                    <w:rPr>
                      <w:color w:val="auto"/>
                      <w:sz w:val="21"/>
                      <w:highlight w:val="none"/>
                    </w:rPr>
                    <w:t>.</w:t>
                  </w:r>
                  <w:r>
                    <w:rPr>
                      <w:rFonts w:hint="default" w:ascii="Times New Roman" w:hAnsi="Times New Roman" w:cs="Times New Roman"/>
                      <w:color w:val="auto"/>
                      <w:sz w:val="21"/>
                      <w:highlight w:val="none"/>
                    </w:rPr>
                    <w:t>8g</w:t>
                  </w:r>
                  <w:r>
                    <w:rPr>
                      <w:color w:val="auto"/>
                      <w:sz w:val="21"/>
                      <w:highlight w:val="none"/>
                    </w:rPr>
                    <w:t>/</w:t>
                  </w:r>
                  <w:r>
                    <w:rPr>
                      <w:rFonts w:hint="default" w:ascii="Times New Roman" w:hAnsi="Times New Roman" w:cs="Times New Roman"/>
                      <w:color w:val="auto"/>
                      <w:sz w:val="21"/>
                      <w:highlight w:val="none"/>
                    </w:rPr>
                    <w:t>m</w:t>
                  </w:r>
                  <w:r>
                    <w:rPr>
                      <w:rFonts w:hint="default" w:ascii="Times New Roman" w:hAnsi="Times New Roman" w:cs="Times New Roman"/>
                      <w:color w:val="auto"/>
                      <w:sz w:val="21"/>
                      <w:highlight w:val="none"/>
                      <w:vertAlign w:val="superscript"/>
                    </w:rPr>
                    <w:t>3</w:t>
                  </w:r>
                  <w:r>
                    <w:rPr>
                      <w:color w:val="auto"/>
                      <w:sz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24" w:type="dxa"/>
                  <w:vAlign w:val="center"/>
                </w:tcPr>
                <w:p>
                  <w:pPr>
                    <w:pStyle w:val="76"/>
                    <w:spacing w:line="240" w:lineRule="auto"/>
                    <w:rPr>
                      <w:rFonts w:hint="default"/>
                      <w:snapToGrid w:val="0"/>
                      <w:color w:val="auto"/>
                      <w:highlight w:val="none"/>
                    </w:rPr>
                  </w:pPr>
                  <w:r>
                    <w:rPr>
                      <w:rFonts w:hint="default" w:ascii="Times New Roman" w:hAnsi="Times New Roman" w:cs="Times New Roman"/>
                      <w:snapToGrid w:val="0"/>
                      <w:color w:val="auto"/>
                      <w:highlight w:val="none"/>
                    </w:rPr>
                    <w:t>2</w:t>
                  </w:r>
                </w:p>
              </w:tc>
              <w:tc>
                <w:tcPr>
                  <w:tcW w:w="1084" w:type="dxa"/>
                  <w:vAlign w:val="center"/>
                </w:tcPr>
                <w:p>
                  <w:pPr>
                    <w:contextualSpacing/>
                    <w:jc w:val="center"/>
                    <w:rPr>
                      <w:rFonts w:hint="default"/>
                      <w:snapToGrid w:val="0"/>
                      <w:color w:val="auto"/>
                      <w:szCs w:val="21"/>
                      <w:highlight w:val="none"/>
                    </w:rPr>
                  </w:pPr>
                  <w:r>
                    <w:rPr>
                      <w:snapToGrid w:val="0"/>
                      <w:color w:val="auto"/>
                      <w:szCs w:val="21"/>
                      <w:highlight w:val="none"/>
                    </w:rPr>
                    <w:t>砂</w:t>
                  </w:r>
                </w:p>
              </w:tc>
              <w:tc>
                <w:tcPr>
                  <w:tcW w:w="6269" w:type="dxa"/>
                  <w:vAlign w:val="center"/>
                </w:tcPr>
                <w:p>
                  <w:pPr>
                    <w:pStyle w:val="76"/>
                    <w:spacing w:line="240" w:lineRule="auto"/>
                    <w:jc w:val="both"/>
                    <w:rPr>
                      <w:rFonts w:hint="default"/>
                      <w:color w:val="auto"/>
                      <w:kern w:val="2"/>
                      <w:highlight w:val="none"/>
                    </w:rPr>
                  </w:pPr>
                  <w:r>
                    <w:rPr>
                      <w:color w:val="auto"/>
                      <w:kern w:val="2"/>
                      <w:highlight w:val="none"/>
                    </w:rPr>
                    <w:t>采用质地坚硬的中粗砂，其细度模数为</w:t>
                  </w:r>
                  <w:r>
                    <w:rPr>
                      <w:rFonts w:hint="default" w:ascii="Times New Roman" w:hAnsi="Times New Roman" w:cs="Times New Roman"/>
                      <w:color w:val="auto"/>
                      <w:kern w:val="2"/>
                      <w:highlight w:val="none"/>
                    </w:rPr>
                    <w:t>2</w:t>
                  </w:r>
                  <w:r>
                    <w:rPr>
                      <w:color w:val="auto"/>
                      <w:kern w:val="2"/>
                      <w:highlight w:val="none"/>
                    </w:rPr>
                    <w:t>.</w:t>
                  </w:r>
                  <w:r>
                    <w:rPr>
                      <w:rFonts w:hint="default" w:ascii="Times New Roman" w:hAnsi="Times New Roman" w:cs="Times New Roman"/>
                      <w:color w:val="auto"/>
                      <w:kern w:val="2"/>
                      <w:highlight w:val="none"/>
                    </w:rPr>
                    <w:t>3</w:t>
                  </w:r>
                  <w:r>
                    <w:rPr>
                      <w:color w:val="auto"/>
                      <w:kern w:val="2"/>
                      <w:highlight w:val="none"/>
                    </w:rPr>
                    <w:t>-</w:t>
                  </w:r>
                  <w:r>
                    <w:rPr>
                      <w:rFonts w:hint="default" w:ascii="Times New Roman" w:hAnsi="Times New Roman" w:cs="Times New Roman"/>
                      <w:color w:val="auto"/>
                      <w:kern w:val="2"/>
                      <w:highlight w:val="none"/>
                    </w:rPr>
                    <w:t>3</w:t>
                  </w:r>
                  <w:r>
                    <w:rPr>
                      <w:color w:val="auto"/>
                      <w:kern w:val="2"/>
                      <w:highlight w:val="none"/>
                    </w:rPr>
                    <w:t>.</w:t>
                  </w:r>
                  <w:r>
                    <w:rPr>
                      <w:rFonts w:hint="default" w:ascii="Times New Roman" w:hAnsi="Times New Roman" w:cs="Times New Roman"/>
                      <w:color w:val="auto"/>
                      <w:kern w:val="2"/>
                      <w:highlight w:val="none"/>
                    </w:rPr>
                    <w:t>2</w:t>
                  </w:r>
                  <w:r>
                    <w:rPr>
                      <w:color w:val="auto"/>
                      <w:kern w:val="2"/>
                      <w:highlight w:val="none"/>
                    </w:rPr>
                    <w:t>、含泥量不得大于</w:t>
                  </w:r>
                  <w:r>
                    <w:rPr>
                      <w:rFonts w:hint="default" w:ascii="Times New Roman" w:hAnsi="Times New Roman" w:cs="Times New Roman"/>
                      <w:color w:val="auto"/>
                      <w:kern w:val="2"/>
                      <w:highlight w:val="none"/>
                    </w:rPr>
                    <w:t>2</w:t>
                  </w:r>
                  <w:r>
                    <w:rPr>
                      <w:color w:val="auto"/>
                      <w:kern w:val="2"/>
                      <w:highlight w:val="none"/>
                    </w:rPr>
                    <w:t>%，其它各项指标符合</w:t>
                  </w:r>
                  <w:r>
                    <w:rPr>
                      <w:rFonts w:hint="default" w:ascii="Times New Roman" w:hAnsi="Times New Roman" w:cs="Times New Roman"/>
                      <w:color w:val="auto"/>
                      <w:kern w:val="2"/>
                      <w:highlight w:val="none"/>
                    </w:rPr>
                    <w:t>GB</w:t>
                  </w:r>
                  <w:r>
                    <w:rPr>
                      <w:color w:val="auto"/>
                      <w:kern w:val="2"/>
                      <w:highlight w:val="none"/>
                    </w:rPr>
                    <w:t>/</w:t>
                  </w:r>
                  <w:r>
                    <w:rPr>
                      <w:rFonts w:hint="default" w:ascii="Times New Roman" w:hAnsi="Times New Roman" w:cs="Times New Roman"/>
                      <w:color w:val="auto"/>
                      <w:kern w:val="2"/>
                      <w:highlight w:val="none"/>
                    </w:rPr>
                    <w:t>T14684</w:t>
                  </w:r>
                  <w:r>
                    <w:rPr>
                      <w:color w:val="auto"/>
                      <w:kern w:val="2"/>
                      <w:highlight w:val="none"/>
                    </w:rPr>
                    <w:t>《建筑用砂》的有关规定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24" w:type="dxa"/>
                  <w:vAlign w:val="center"/>
                </w:tcPr>
                <w:p>
                  <w:pPr>
                    <w:pStyle w:val="76"/>
                    <w:spacing w:line="240" w:lineRule="auto"/>
                    <w:rPr>
                      <w:rFonts w:hint="default"/>
                      <w:snapToGrid w:val="0"/>
                      <w:color w:val="auto"/>
                      <w:highlight w:val="none"/>
                    </w:rPr>
                  </w:pPr>
                  <w:r>
                    <w:rPr>
                      <w:rFonts w:hint="default" w:ascii="Times New Roman" w:hAnsi="Times New Roman" w:cs="Times New Roman"/>
                      <w:snapToGrid w:val="0"/>
                      <w:color w:val="auto"/>
                      <w:highlight w:val="none"/>
                    </w:rPr>
                    <w:t>3</w:t>
                  </w:r>
                </w:p>
              </w:tc>
              <w:tc>
                <w:tcPr>
                  <w:tcW w:w="1084" w:type="dxa"/>
                  <w:vAlign w:val="center"/>
                </w:tcPr>
                <w:p>
                  <w:pPr>
                    <w:contextualSpacing/>
                    <w:jc w:val="center"/>
                    <w:rPr>
                      <w:rFonts w:hint="eastAsia" w:eastAsia="宋体"/>
                      <w:snapToGrid w:val="0"/>
                      <w:color w:val="auto"/>
                      <w:szCs w:val="21"/>
                      <w:highlight w:val="none"/>
                      <w:lang w:eastAsia="zh-CN"/>
                    </w:rPr>
                  </w:pPr>
                  <w:r>
                    <w:rPr>
                      <w:rFonts w:hint="eastAsia"/>
                      <w:snapToGrid w:val="0"/>
                      <w:color w:val="auto"/>
                      <w:szCs w:val="21"/>
                      <w:highlight w:val="none"/>
                      <w:lang w:val="en-US" w:eastAsia="zh-CN"/>
                    </w:rPr>
                    <w:t>粉煤灰</w:t>
                  </w:r>
                </w:p>
              </w:tc>
              <w:tc>
                <w:tcPr>
                  <w:tcW w:w="626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color w:val="auto"/>
                      <w:sz w:val="21"/>
                      <w:highlight w:val="none"/>
                    </w:rPr>
                  </w:pPr>
                  <w:r>
                    <w:rPr>
                      <w:rFonts w:hint="eastAsia" w:ascii="Calibri" w:hAnsi="Calibri" w:eastAsia="宋体" w:cs="Calibri"/>
                      <w:bCs/>
                      <w:color w:val="auto"/>
                      <w:kern w:val="2"/>
                      <w:sz w:val="21"/>
                      <w:szCs w:val="21"/>
                      <w:highlight w:val="none"/>
                      <w:lang w:val="en-US" w:eastAsia="zh-CN" w:bidi="ar-SA"/>
                    </w:rPr>
                    <w:t>是从煤燃烧后的烟气中收捕下来的细灰，粉煤灰是燃煤电厂排出的主要固体废物。我国火电厂粉煤灰的主要氧化物组成为：</w:t>
                  </w:r>
                  <w:r>
                    <w:rPr>
                      <w:rFonts w:hint="default" w:ascii="Times New Roman" w:hAnsi="Times New Roman" w:eastAsia="宋体" w:cs="Times New Roman"/>
                      <w:color w:val="auto"/>
                      <w:highlight w:val="none"/>
                      <w:lang w:val="en-US" w:eastAsia="zh-CN"/>
                    </w:rPr>
                    <w:t>Si</w:t>
                  </w:r>
                  <w:r>
                    <w:rPr>
                      <w:rFonts w:hint="default" w:ascii="Times New Roman" w:hAnsi="Times New Roman" w:eastAsia="宋体" w:cs="Times New Roman"/>
                      <w:color w:val="auto"/>
                      <w:highlight w:val="none"/>
                      <w:vertAlign w:val="subscript"/>
                      <w:lang w:val="en-US" w:eastAsia="zh-CN"/>
                    </w:rPr>
                    <w:t>O2</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Al2</w:t>
                  </w:r>
                  <w:r>
                    <w:rPr>
                      <w:rFonts w:hint="default" w:ascii="Times New Roman" w:hAnsi="Times New Roman" w:eastAsia="宋体" w:cs="Times New Roman"/>
                      <w:color w:val="auto"/>
                      <w:highlight w:val="none"/>
                      <w:vertAlign w:val="subscript"/>
                      <w:lang w:val="en-US" w:eastAsia="zh-CN"/>
                    </w:rPr>
                    <w:t>O3</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FeO</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Fe2</w:t>
                  </w:r>
                  <w:r>
                    <w:rPr>
                      <w:rFonts w:hint="default" w:ascii="Times New Roman" w:hAnsi="Times New Roman" w:eastAsia="宋体" w:cs="Times New Roman"/>
                      <w:color w:val="auto"/>
                      <w:highlight w:val="none"/>
                      <w:vertAlign w:val="subscript"/>
                      <w:lang w:val="en-US" w:eastAsia="zh-CN"/>
                    </w:rPr>
                    <w:t>O3</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CaO</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Ti</w:t>
                  </w:r>
                  <w:r>
                    <w:rPr>
                      <w:rFonts w:hint="default" w:ascii="Times New Roman" w:hAnsi="Times New Roman" w:eastAsia="宋体" w:cs="Times New Roman"/>
                      <w:color w:val="auto"/>
                      <w:highlight w:val="none"/>
                      <w:vertAlign w:val="subscript"/>
                      <w:lang w:val="en-US" w:eastAsia="zh-CN"/>
                    </w:rPr>
                    <w:t>O2</w:t>
                  </w:r>
                  <w:r>
                    <w:rPr>
                      <w:rFonts w:hint="eastAsia" w:ascii="Times New Roman" w:hAnsi="Times New Roman" w:eastAsia="宋体" w:cs="Times New Roman"/>
                      <w:color w:val="auto"/>
                      <w:highlight w:val="none"/>
                      <w:lang w:val="en-US" w:eastAsia="zh-CN"/>
                    </w:rPr>
                    <w:t>等</w:t>
                  </w:r>
                  <w:r>
                    <w:rPr>
                      <w:rFonts w:hint="eastAsia" w:ascii="Calibri" w:hAnsi="Calibri" w:eastAsia="宋体" w:cs="Calibri"/>
                      <w:bCs/>
                      <w:color w:val="auto"/>
                      <w:kern w:val="2"/>
                      <w:sz w:val="21"/>
                      <w:szCs w:val="21"/>
                      <w:highlight w:val="none"/>
                      <w:lang w:val="en-US" w:eastAsia="zh-CN" w:bidi="ar-SA"/>
                    </w:rPr>
                    <w:t>。粉煤灰外观类似水泥，颜色在粉煤灰外观类似水泥，颜色在乳白色到灰黑色之间变化。粉煤灰的颜色是一项重要的质量指标，可以反映含碳量的多少和差异。在一定程度上也可以反映粉煤灰的细度，颜色越深粉煤灰粒度越细，含碳量越高。粉煤灰有低钙粉煤灰和高钙粉煤灰之分。通常高钙粉煤灰的颜色偏黄，低钙粉煤灰的颜色偏灰。粉煤灰颗粒呈多孔型蜂窝状组织，比表面积较大，具有较高的吸附活性，颗粒的粒径范围</w:t>
                  </w:r>
                  <w:r>
                    <w:rPr>
                      <w:rFonts w:hint="eastAsia" w:ascii="Times New Roman" w:hAnsi="Times New Roman" w:eastAsia="宋体" w:cs="Times New Roman"/>
                      <w:color w:val="auto"/>
                      <w:highlight w:val="none"/>
                      <w:lang w:val="en-US" w:eastAsia="zh-CN"/>
                    </w:rPr>
                    <w:t>为</w:t>
                  </w:r>
                  <w:r>
                    <w:rPr>
                      <w:rFonts w:hint="default"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300μm</w:t>
                  </w:r>
                  <w:r>
                    <w:rPr>
                      <w:rFonts w:hint="eastAsia" w:ascii="Calibri" w:hAnsi="Calibri" w:eastAsia="宋体" w:cs="Calibri"/>
                      <w:bCs/>
                      <w:color w:val="auto"/>
                      <w:kern w:val="2"/>
                      <w:sz w:val="21"/>
                      <w:szCs w:val="21"/>
                      <w:highlight w:val="none"/>
                      <w:lang w:val="en-US" w:eastAsia="zh-CN" w:bidi="ar-SA"/>
                    </w:rPr>
                    <w:t>。并且珠壁具有多孔结构，孔隙率高达</w:t>
                  </w:r>
                  <w:r>
                    <w:rPr>
                      <w:rFonts w:hint="default" w:ascii="Times New Roman" w:hAnsi="Times New Roman" w:eastAsia="宋体" w:cs="Times New Roman"/>
                      <w:bCs/>
                      <w:color w:val="auto"/>
                      <w:kern w:val="2"/>
                      <w:sz w:val="21"/>
                      <w:szCs w:val="21"/>
                      <w:highlight w:val="none"/>
                      <w:lang w:val="en-US" w:eastAsia="zh-CN" w:bidi="ar-SA"/>
                    </w:rPr>
                    <w:t>50</w:t>
                  </w:r>
                  <w:r>
                    <w:rPr>
                      <w:rFonts w:hint="eastAsia" w:ascii="Calibri" w:hAnsi="Calibri" w:eastAsia="宋体" w:cs="Calibri"/>
                      <w:bCs/>
                      <w:color w:val="auto"/>
                      <w:kern w:val="2"/>
                      <w:sz w:val="21"/>
                      <w:szCs w:val="21"/>
                      <w:highlight w:val="none"/>
                      <w:lang w:val="en-US" w:eastAsia="zh-CN" w:bidi="ar-SA"/>
                    </w:rPr>
                    <w:t>%—</w:t>
                  </w:r>
                  <w:r>
                    <w:rPr>
                      <w:rFonts w:hint="default" w:ascii="Times New Roman" w:hAnsi="Times New Roman" w:eastAsia="宋体" w:cs="Times New Roman"/>
                      <w:bCs/>
                      <w:color w:val="auto"/>
                      <w:kern w:val="2"/>
                      <w:sz w:val="21"/>
                      <w:szCs w:val="21"/>
                      <w:highlight w:val="none"/>
                      <w:lang w:val="en-US" w:eastAsia="zh-CN" w:bidi="ar-SA"/>
                    </w:rPr>
                    <w:t>80</w:t>
                  </w:r>
                  <w:r>
                    <w:rPr>
                      <w:rFonts w:hint="eastAsia" w:ascii="Calibri" w:hAnsi="Calibri" w:eastAsia="宋体" w:cs="Calibri"/>
                      <w:bCs/>
                      <w:color w:val="auto"/>
                      <w:kern w:val="2"/>
                      <w:sz w:val="21"/>
                      <w:szCs w:val="21"/>
                      <w:highlight w:val="none"/>
                      <w:lang w:val="en-US" w:eastAsia="zh-CN" w:bidi="ar-SA"/>
                    </w:rPr>
                    <w:t>%，有很强的吸水性。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24" w:type="dxa"/>
                  <w:vAlign w:val="center"/>
                </w:tcPr>
                <w:p>
                  <w:pPr>
                    <w:pStyle w:val="76"/>
                    <w:spacing w:line="240" w:lineRule="auto"/>
                    <w:rPr>
                      <w:rFonts w:hint="default"/>
                      <w:snapToGrid w:val="0"/>
                      <w:color w:val="auto"/>
                      <w:highlight w:val="none"/>
                      <w:lang w:val="en-US" w:eastAsia="zh-CN"/>
                    </w:rPr>
                  </w:pPr>
                  <w:r>
                    <w:rPr>
                      <w:rFonts w:hint="eastAsia" w:cs="Times New Roman"/>
                      <w:snapToGrid w:val="0"/>
                      <w:color w:val="auto"/>
                      <w:highlight w:val="none"/>
                      <w:lang w:val="en-US" w:eastAsia="zh-CN"/>
                    </w:rPr>
                    <w:t>4</w:t>
                  </w:r>
                </w:p>
              </w:tc>
              <w:tc>
                <w:tcPr>
                  <w:tcW w:w="1084" w:type="dxa"/>
                  <w:vAlign w:val="center"/>
                </w:tcPr>
                <w:p>
                  <w:pPr>
                    <w:contextualSpacing/>
                    <w:jc w:val="center"/>
                    <w:rPr>
                      <w:rFonts w:hint="eastAsia" w:cs="Times New Roman"/>
                      <w:color w:val="auto"/>
                      <w:sz w:val="21"/>
                      <w:szCs w:val="21"/>
                      <w:lang w:val="en-US" w:eastAsia="zh-CN"/>
                    </w:rPr>
                  </w:pPr>
                  <w:r>
                    <w:rPr>
                      <w:rFonts w:hint="eastAsia" w:ascii="Times New Roman" w:hAnsi="Times New Roman" w:eastAsia="宋体" w:cs="Times New Roman"/>
                      <w:bCs/>
                      <w:color w:val="auto"/>
                      <w:szCs w:val="21"/>
                      <w:highlight w:val="none"/>
                    </w:rPr>
                    <w:t>防冻剂</w:t>
                  </w:r>
                </w:p>
              </w:tc>
              <w:tc>
                <w:tcPr>
                  <w:tcW w:w="6269" w:type="dxa"/>
                  <w:vAlign w:val="center"/>
                </w:tcPr>
                <w:p>
                  <w:pPr>
                    <w:rPr>
                      <w:rFonts w:hint="eastAsia" w:ascii="Calibri" w:hAnsi="Calibri" w:eastAsia="宋体" w:cs="Calibri"/>
                      <w:bCs/>
                      <w:color w:val="auto"/>
                      <w:kern w:val="2"/>
                      <w:sz w:val="21"/>
                      <w:szCs w:val="21"/>
                      <w:highlight w:val="none"/>
                      <w:lang w:val="en-US" w:eastAsia="zh-CN" w:bidi="ar-SA"/>
                    </w:rPr>
                  </w:pPr>
                  <w:r>
                    <w:rPr>
                      <w:rFonts w:hint="eastAsia" w:ascii="Calibri" w:hAnsi="Calibri" w:eastAsia="宋体" w:cs="Calibri"/>
                      <w:bCs/>
                      <w:color w:val="auto"/>
                      <w:kern w:val="2"/>
                      <w:sz w:val="21"/>
                      <w:szCs w:val="21"/>
                      <w:highlight w:val="none"/>
                      <w:lang w:val="en-US" w:eastAsia="zh-CN" w:bidi="ar-SA"/>
                    </w:rPr>
                    <w:t>混凝土防冻剂的主要成分包括：硫酸钠</w:t>
                  </w:r>
                  <w:r>
                    <w:rPr>
                      <w:rFonts w:hint="eastAsia" w:ascii="Calibri" w:hAnsi="Calibri" w:cs="Calibri"/>
                      <w:bCs/>
                      <w:color w:val="auto"/>
                      <w:kern w:val="2"/>
                      <w:sz w:val="21"/>
                      <w:szCs w:val="21"/>
                      <w:highlight w:val="none"/>
                      <w:lang w:val="en-US" w:eastAsia="zh-CN" w:bidi="ar-SA"/>
                    </w:rPr>
                    <w:t>、</w:t>
                  </w:r>
                  <w:r>
                    <w:rPr>
                      <w:rFonts w:hint="eastAsia" w:ascii="Calibri" w:hAnsi="Calibri" w:eastAsia="宋体" w:cs="Calibri"/>
                      <w:bCs/>
                      <w:color w:val="auto"/>
                      <w:kern w:val="2"/>
                      <w:sz w:val="21"/>
                      <w:szCs w:val="21"/>
                      <w:highlight w:val="none"/>
                      <w:lang w:val="en-US" w:eastAsia="zh-CN" w:bidi="ar-SA"/>
                    </w:rPr>
                    <w:t>氯化钠</w:t>
                  </w:r>
                  <w:r>
                    <w:rPr>
                      <w:rFonts w:hint="eastAsia" w:ascii="Calibri" w:hAnsi="Calibri" w:cs="Calibri"/>
                      <w:bCs/>
                      <w:color w:val="auto"/>
                      <w:kern w:val="2"/>
                      <w:sz w:val="21"/>
                      <w:szCs w:val="21"/>
                      <w:highlight w:val="none"/>
                      <w:lang w:val="en-US" w:eastAsia="zh-CN" w:bidi="ar-SA"/>
                    </w:rPr>
                    <w:t>、</w:t>
                  </w:r>
                  <w:r>
                    <w:rPr>
                      <w:rFonts w:hint="eastAsia" w:ascii="Calibri" w:hAnsi="Calibri" w:eastAsia="宋体" w:cs="Calibri"/>
                      <w:bCs/>
                      <w:color w:val="auto"/>
                      <w:kern w:val="2"/>
                      <w:sz w:val="21"/>
                      <w:szCs w:val="21"/>
                      <w:highlight w:val="none"/>
                      <w:lang w:val="en-US" w:eastAsia="zh-CN" w:bidi="ar-SA"/>
                    </w:rPr>
                    <w:t>亚硝酸钠</w:t>
                  </w:r>
                  <w:r>
                    <w:rPr>
                      <w:rFonts w:hint="eastAsia" w:ascii="Calibri" w:hAnsi="Calibri" w:cs="Calibri"/>
                      <w:bCs/>
                      <w:color w:val="auto"/>
                      <w:kern w:val="2"/>
                      <w:sz w:val="21"/>
                      <w:szCs w:val="21"/>
                      <w:highlight w:val="none"/>
                      <w:lang w:val="en-US" w:eastAsia="zh-CN" w:bidi="ar-SA"/>
                    </w:rPr>
                    <w:t>、</w:t>
                  </w:r>
                  <w:r>
                    <w:rPr>
                      <w:rFonts w:hint="eastAsia" w:ascii="Calibri" w:hAnsi="Calibri" w:eastAsia="宋体" w:cs="Calibri"/>
                      <w:bCs/>
                      <w:color w:val="auto"/>
                      <w:kern w:val="2"/>
                      <w:sz w:val="21"/>
                      <w:szCs w:val="21"/>
                      <w:highlight w:val="none"/>
                      <w:lang w:val="en-US" w:eastAsia="zh-CN" w:bidi="ar-SA"/>
                    </w:rPr>
                    <w:t>木质磺酸钙</w:t>
                  </w:r>
                  <w:r>
                    <w:rPr>
                      <w:rFonts w:hint="eastAsia" w:ascii="Calibri" w:hAnsi="Calibri" w:cs="Calibri"/>
                      <w:bCs/>
                      <w:color w:val="auto"/>
                      <w:kern w:val="2"/>
                      <w:sz w:val="21"/>
                      <w:szCs w:val="21"/>
                      <w:highlight w:val="none"/>
                      <w:lang w:val="en-US" w:eastAsia="zh-CN" w:bidi="ar-SA"/>
                    </w:rPr>
                    <w:t>、</w:t>
                  </w:r>
                  <w:r>
                    <w:rPr>
                      <w:rFonts w:hint="eastAsia" w:ascii="Calibri" w:hAnsi="Calibri" w:eastAsia="宋体" w:cs="Calibri"/>
                      <w:bCs/>
                      <w:color w:val="auto"/>
                      <w:kern w:val="2"/>
                      <w:sz w:val="21"/>
                      <w:szCs w:val="21"/>
                      <w:highlight w:val="none"/>
                      <w:lang w:val="en-US" w:eastAsia="zh-CN" w:bidi="ar-SA"/>
                    </w:rPr>
                    <w:t>萘系高效减水剂</w:t>
                  </w:r>
                  <w:r>
                    <w:rPr>
                      <w:rFonts w:hint="eastAsia" w:ascii="Calibri" w:hAnsi="Calibri" w:cs="Calibri"/>
                      <w:bCs/>
                      <w:color w:val="auto"/>
                      <w:kern w:val="2"/>
                      <w:sz w:val="21"/>
                      <w:szCs w:val="21"/>
                      <w:highlight w:val="none"/>
                      <w:lang w:val="en-US" w:eastAsia="zh-CN" w:bidi="ar-SA"/>
                    </w:rPr>
                    <w:t>，</w:t>
                  </w:r>
                  <w:r>
                    <w:rPr>
                      <w:rFonts w:hint="eastAsia" w:ascii="Calibri" w:hAnsi="Calibri" w:eastAsia="宋体" w:cs="Calibri"/>
                      <w:bCs/>
                      <w:color w:val="auto"/>
                      <w:kern w:val="2"/>
                      <w:sz w:val="21"/>
                      <w:szCs w:val="21"/>
                      <w:highlight w:val="none"/>
                      <w:lang w:val="en-US" w:eastAsia="zh-CN" w:bidi="ar-SA"/>
                    </w:rPr>
                    <w:t>这些成分共同作用，可以降低混凝土拌和物中的冰点，防止水分结冰，并促进水泥的水化反应，从而保证混凝土在负温下的正常施工和强度增长。</w:t>
                  </w:r>
                </w:p>
              </w:tc>
            </w:tr>
          </w:tbl>
          <w:p>
            <w:pPr>
              <w:pStyle w:val="12"/>
              <w:spacing w:before="0" w:after="0" w:line="360" w:lineRule="auto"/>
              <w:ind w:right="0" w:firstLine="480" w:firstLineChars="200"/>
              <w:rPr>
                <w:rFonts w:hint="default"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w:t>
            </w:r>
            <w:r>
              <w:rPr>
                <w:rFonts w:hint="default" w:ascii="Times New Roman" w:hAnsi="Times New Roman" w:eastAsia="宋体" w:cs="Times New Roman"/>
                <w:color w:val="auto"/>
                <w:kern w:val="0"/>
                <w:sz w:val="24"/>
                <w:szCs w:val="24"/>
                <w:highlight w:val="none"/>
                <w:lang w:val="en-US" w:eastAsia="zh-CN" w:bidi="ar-SA"/>
              </w:rPr>
              <w:t>工艺物料</w:t>
            </w:r>
            <w:r>
              <w:rPr>
                <w:rFonts w:hint="eastAsia" w:ascii="Times New Roman" w:hAnsi="Times New Roman" w:eastAsia="宋体" w:cs="Times New Roman"/>
                <w:color w:val="auto"/>
                <w:kern w:val="0"/>
                <w:sz w:val="24"/>
                <w:szCs w:val="24"/>
                <w:highlight w:val="none"/>
                <w:lang w:val="en-US" w:eastAsia="zh-CN" w:bidi="ar-SA"/>
              </w:rPr>
              <w:t>物料平衡见下表。</w:t>
            </w:r>
          </w:p>
          <w:p>
            <w:pPr>
              <w:pStyle w:val="73"/>
              <w:ind w:firstLine="420"/>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表2-</w:t>
            </w:r>
            <w:r>
              <w:rPr>
                <w:rFonts w:hint="default" w:ascii="Times New Roman" w:hAnsi="Times New Roman" w:cs="Times New Roman"/>
                <w:b/>
                <w:bCs w:val="0"/>
                <w:color w:val="auto"/>
                <w:kern w:val="2"/>
                <w:sz w:val="24"/>
                <w:szCs w:val="24"/>
                <w:highlight w:val="none"/>
                <w:lang w:val="en-US" w:eastAsia="zh-CN" w:bidi="ar-SA"/>
              </w:rPr>
              <w:t>5</w:t>
            </w:r>
            <w:r>
              <w:rPr>
                <w:rFonts w:hint="default" w:ascii="Times New Roman" w:hAnsi="Times New Roman" w:eastAsia="宋体" w:cs="Times New Roman"/>
                <w:b/>
                <w:bCs w:val="0"/>
                <w:color w:val="auto"/>
                <w:kern w:val="2"/>
                <w:sz w:val="24"/>
                <w:szCs w:val="24"/>
                <w:highlight w:val="none"/>
                <w:lang w:val="en-US" w:eastAsia="zh-CN" w:bidi="ar-SA"/>
              </w:rPr>
              <w:t xml:space="preserve"> 工艺物料平衡</w:t>
            </w:r>
          </w:p>
          <w:tbl>
            <w:tblPr>
              <w:tblStyle w:val="32"/>
              <w:tblW w:w="794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782"/>
              <w:gridCol w:w="2190"/>
              <w:gridCol w:w="1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68" w:type="dxa"/>
                  <w:gridSpan w:val="2"/>
                  <w:noWrap w:val="0"/>
                  <w:vAlign w:val="center"/>
                </w:tcPr>
                <w:p>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入方</w:t>
                  </w:r>
                </w:p>
              </w:tc>
              <w:tc>
                <w:tcPr>
                  <w:tcW w:w="4177" w:type="dxa"/>
                  <w:gridSpan w:val="2"/>
                  <w:noWrap w:val="0"/>
                  <w:vAlign w:val="center"/>
                </w:tcPr>
                <w:p>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出方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986" w:type="dxa"/>
                  <w:noWrap w:val="0"/>
                  <w:vAlign w:val="center"/>
                </w:tcPr>
                <w:p>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物料</w:t>
                  </w:r>
                </w:p>
              </w:tc>
              <w:tc>
                <w:tcPr>
                  <w:tcW w:w="1782" w:type="dxa"/>
                  <w:noWrap w:val="0"/>
                  <w:vAlign w:val="center"/>
                </w:tcPr>
                <w:p>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数量，t/a</w:t>
                  </w:r>
                </w:p>
              </w:tc>
              <w:tc>
                <w:tcPr>
                  <w:tcW w:w="2190" w:type="dxa"/>
                  <w:noWrap w:val="0"/>
                  <w:vAlign w:val="center"/>
                </w:tcPr>
                <w:p>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物料</w:t>
                  </w:r>
                </w:p>
              </w:tc>
              <w:tc>
                <w:tcPr>
                  <w:tcW w:w="1987" w:type="dxa"/>
                  <w:noWrap w:val="0"/>
                  <w:vAlign w:val="center"/>
                </w:tcPr>
                <w:p>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数量，t/a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945" w:type="dxa"/>
                  <w:gridSpan w:val="4"/>
                  <w:noWrap w:val="0"/>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商品混凝土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986" w:type="dxa"/>
                  <w:noWrap w:val="0"/>
                  <w:vAlign w:val="top"/>
                </w:tcPr>
                <w:p>
                  <w:pPr>
                    <w:autoSpaceDE w:val="0"/>
                    <w:autoSpaceDN w:val="0"/>
                    <w:jc w:val="center"/>
                    <w:rPr>
                      <w:rFonts w:hint="default" w:ascii="Times New Roman" w:hAnsi="Times New Roman" w:cs="Times New Roman"/>
                      <w:bCs/>
                      <w:color w:val="auto"/>
                      <w:szCs w:val="21"/>
                      <w:highlight w:val="none"/>
                    </w:rPr>
                  </w:pPr>
                  <w:r>
                    <w:rPr>
                      <w:rFonts w:hint="eastAsia" w:ascii="Times New Roman" w:hAnsi="Times New Roman" w:eastAsia="宋体" w:cs="Times New Roman"/>
                      <w:bCs/>
                      <w:color w:val="auto"/>
                      <w:szCs w:val="21"/>
                      <w:highlight w:val="none"/>
                    </w:rPr>
                    <w:t>水泥</w:t>
                  </w:r>
                </w:p>
              </w:tc>
              <w:tc>
                <w:tcPr>
                  <w:tcW w:w="1782"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highlight w:val="none"/>
                      <w:lang w:val="en-US"/>
                    </w:rPr>
                  </w:pPr>
                  <w:r>
                    <w:rPr>
                      <w:rFonts w:hint="eastAsia" w:cs="Times New Roman"/>
                      <w:color w:val="auto"/>
                      <w:sz w:val="21"/>
                      <w:szCs w:val="21"/>
                      <w:lang w:val="en-US" w:eastAsia="zh-CN"/>
                    </w:rPr>
                    <w:t>7700</w:t>
                  </w:r>
                </w:p>
              </w:tc>
              <w:tc>
                <w:tcPr>
                  <w:tcW w:w="2190" w:type="dxa"/>
                  <w:noWrap w:val="0"/>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bidi="ar"/>
                    </w:rPr>
                    <w:t>商品混凝土</w:t>
                  </w:r>
                </w:p>
              </w:tc>
              <w:tc>
                <w:tcPr>
                  <w:tcW w:w="19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37500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986" w:type="dxa"/>
                  <w:noWrap w:val="0"/>
                  <w:vAlign w:val="top"/>
                </w:tcPr>
                <w:p>
                  <w:pPr>
                    <w:autoSpaceDE w:val="0"/>
                    <w:autoSpaceDN w:val="0"/>
                    <w:jc w:val="center"/>
                    <w:rPr>
                      <w:rFonts w:hint="default" w:ascii="Times New Roman" w:hAnsi="Times New Roman" w:cs="Times New Roman"/>
                      <w:bCs/>
                      <w:color w:val="auto"/>
                      <w:szCs w:val="21"/>
                      <w:highlight w:val="none"/>
                    </w:rPr>
                  </w:pPr>
                  <w:r>
                    <w:rPr>
                      <w:rFonts w:hint="eastAsia" w:ascii="Times New Roman" w:hAnsi="Times New Roman" w:eastAsia="宋体" w:cs="Times New Roman"/>
                      <w:bCs/>
                      <w:color w:val="auto"/>
                      <w:szCs w:val="21"/>
                      <w:highlight w:val="none"/>
                    </w:rPr>
                    <w:t>粉煤灰</w:t>
                  </w:r>
                </w:p>
              </w:tc>
              <w:tc>
                <w:tcPr>
                  <w:tcW w:w="178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sz w:val="21"/>
                      <w:szCs w:val="21"/>
                      <w:lang w:val="en-US" w:eastAsia="zh-CN"/>
                    </w:rPr>
                    <w:t>650</w:t>
                  </w:r>
                </w:p>
              </w:tc>
              <w:tc>
                <w:tcPr>
                  <w:tcW w:w="2190" w:type="dxa"/>
                  <w:noWrap w:val="0"/>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bidi="ar"/>
                    </w:rPr>
                    <w:t>粉尘</w:t>
                  </w:r>
                </w:p>
              </w:tc>
              <w:tc>
                <w:tcPr>
                  <w:tcW w:w="19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986" w:type="dxa"/>
                  <w:noWrap w:val="0"/>
                  <w:vAlign w:val="top"/>
                </w:tcPr>
                <w:p>
                  <w:pPr>
                    <w:autoSpaceDE w:val="0"/>
                    <w:autoSpaceDN w:val="0"/>
                    <w:jc w:val="center"/>
                    <w:rPr>
                      <w:rFonts w:hint="default" w:ascii="Times New Roman" w:hAnsi="Times New Roman" w:cs="Times New Roman"/>
                      <w:bCs/>
                      <w:color w:val="auto"/>
                      <w:kern w:val="0"/>
                      <w:sz w:val="21"/>
                      <w:szCs w:val="21"/>
                      <w:highlight w:val="none"/>
                      <w:lang w:val="en-US" w:eastAsia="zh-CN" w:bidi="ar-SA"/>
                    </w:rPr>
                  </w:pPr>
                  <w:r>
                    <w:rPr>
                      <w:rFonts w:hint="eastAsia" w:ascii="Times New Roman" w:hAnsi="Times New Roman" w:eastAsia="宋体" w:cs="Times New Roman"/>
                      <w:bCs/>
                      <w:color w:val="auto"/>
                      <w:szCs w:val="21"/>
                      <w:highlight w:val="none"/>
                    </w:rPr>
                    <w:t>砂</w:t>
                  </w:r>
                </w:p>
              </w:tc>
              <w:tc>
                <w:tcPr>
                  <w:tcW w:w="1782"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sz w:val="21"/>
                      <w:szCs w:val="21"/>
                      <w:lang w:val="en-US" w:eastAsia="zh-CN"/>
                    </w:rPr>
                    <w:t>11673</w:t>
                  </w:r>
                </w:p>
              </w:tc>
              <w:tc>
                <w:tcPr>
                  <w:tcW w:w="2190" w:type="dxa"/>
                  <w:noWrap w:val="0"/>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沉渣</w:t>
                  </w:r>
                </w:p>
              </w:tc>
              <w:tc>
                <w:tcPr>
                  <w:tcW w:w="19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86" w:type="dxa"/>
                  <w:noWrap w:val="0"/>
                  <w:vAlign w:val="center"/>
                </w:tcPr>
                <w:p>
                  <w:pPr>
                    <w:autoSpaceDE w:val="0"/>
                    <w:autoSpaceDN w:val="0"/>
                    <w:jc w:val="center"/>
                    <w:rPr>
                      <w:rFonts w:hint="default" w:ascii="Times New Roman" w:hAnsi="Times New Roman" w:cs="Times New Roman"/>
                      <w:bCs/>
                      <w:color w:val="auto"/>
                      <w:kern w:val="0"/>
                      <w:sz w:val="21"/>
                      <w:szCs w:val="21"/>
                      <w:highlight w:val="none"/>
                      <w:lang w:val="en-US" w:eastAsia="zh-CN" w:bidi="ar-SA"/>
                    </w:rPr>
                  </w:pPr>
                  <w:r>
                    <w:rPr>
                      <w:rFonts w:hint="eastAsia" w:ascii="Times New Roman" w:hAnsi="Times New Roman" w:eastAsia="宋体" w:cs="Times New Roman"/>
                      <w:bCs/>
                      <w:color w:val="auto"/>
                      <w:szCs w:val="21"/>
                      <w:highlight w:val="none"/>
                    </w:rPr>
                    <w:t>碎石</w:t>
                  </w:r>
                </w:p>
              </w:tc>
              <w:tc>
                <w:tcPr>
                  <w:tcW w:w="1782"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sz w:val="21"/>
                      <w:szCs w:val="21"/>
                      <w:lang w:val="en-US" w:eastAsia="zh-CN"/>
                    </w:rPr>
                    <w:t>15522</w:t>
                  </w:r>
                </w:p>
              </w:tc>
              <w:tc>
                <w:tcPr>
                  <w:tcW w:w="2190" w:type="dxa"/>
                  <w:noWrap w:val="0"/>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废料</w:t>
                  </w:r>
                </w:p>
              </w:tc>
              <w:tc>
                <w:tcPr>
                  <w:tcW w:w="19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298.5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986" w:type="dxa"/>
                  <w:noWrap w:val="0"/>
                  <w:vAlign w:val="top"/>
                </w:tcPr>
                <w:p>
                  <w:pPr>
                    <w:autoSpaceDE w:val="0"/>
                    <w:autoSpaceDN w:val="0"/>
                    <w:jc w:val="center"/>
                    <w:rPr>
                      <w:rFonts w:hint="default" w:ascii="Times New Roman" w:hAnsi="Times New Roman" w:cs="Times New Roman"/>
                      <w:bCs/>
                      <w:color w:val="auto"/>
                      <w:kern w:val="0"/>
                      <w:sz w:val="21"/>
                      <w:szCs w:val="21"/>
                      <w:highlight w:val="none"/>
                      <w:lang w:val="en-US" w:eastAsia="zh-CN" w:bidi="ar-SA"/>
                    </w:rPr>
                  </w:pPr>
                  <w:r>
                    <w:rPr>
                      <w:rFonts w:hint="eastAsia" w:ascii="Times New Roman" w:hAnsi="Times New Roman" w:eastAsia="宋体" w:cs="Times New Roman"/>
                      <w:bCs/>
                      <w:color w:val="auto"/>
                      <w:szCs w:val="21"/>
                      <w:highlight w:val="none"/>
                    </w:rPr>
                    <w:t>防冻剂</w:t>
                  </w:r>
                </w:p>
              </w:tc>
              <w:tc>
                <w:tcPr>
                  <w:tcW w:w="1782"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sz w:val="21"/>
                      <w:szCs w:val="21"/>
                      <w:lang w:val="en-US" w:eastAsia="zh-CN"/>
                    </w:rPr>
                    <w:t>20</w:t>
                  </w:r>
                </w:p>
              </w:tc>
              <w:tc>
                <w:tcPr>
                  <w:tcW w:w="2190" w:type="dxa"/>
                  <w:noWrap w:val="0"/>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bidi="ar-SA"/>
                    </w:rPr>
                  </w:pPr>
                </w:p>
              </w:tc>
              <w:tc>
                <w:tcPr>
                  <w:tcW w:w="19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986" w:type="dxa"/>
                  <w:noWrap w:val="0"/>
                  <w:vAlign w:val="top"/>
                </w:tcPr>
                <w:p>
                  <w:pPr>
                    <w:autoSpaceDE w:val="0"/>
                    <w:autoSpaceDN w:val="0"/>
                    <w:jc w:val="center"/>
                    <w:rPr>
                      <w:rFonts w:hint="default" w:ascii="Times New Roman" w:hAnsi="Times New Roman" w:cs="Times New Roman"/>
                      <w:bCs/>
                      <w:color w:val="auto"/>
                      <w:kern w:val="0"/>
                      <w:sz w:val="21"/>
                      <w:szCs w:val="21"/>
                      <w:highlight w:val="none"/>
                      <w:lang w:val="en-US" w:eastAsia="zh-CN" w:bidi="ar-SA"/>
                    </w:rPr>
                  </w:pPr>
                  <w:r>
                    <w:rPr>
                      <w:rFonts w:hint="eastAsia" w:ascii="Times New Roman" w:hAnsi="Times New Roman" w:eastAsia="宋体" w:cs="Times New Roman"/>
                      <w:bCs/>
                      <w:color w:val="auto"/>
                      <w:szCs w:val="21"/>
                      <w:highlight w:val="none"/>
                      <w:lang w:eastAsia="zh-CN"/>
                    </w:rPr>
                    <w:t>水</w:t>
                  </w:r>
                </w:p>
              </w:tc>
              <w:tc>
                <w:tcPr>
                  <w:tcW w:w="1782"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sz w:val="21"/>
                      <w:szCs w:val="21"/>
                      <w:lang w:val="en-US" w:eastAsia="zh-CN"/>
                    </w:rPr>
                    <w:t>2250</w:t>
                  </w:r>
                </w:p>
              </w:tc>
              <w:tc>
                <w:tcPr>
                  <w:tcW w:w="2190" w:type="dxa"/>
                  <w:noWrap w:val="0"/>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bidi="ar-SA"/>
                    </w:rPr>
                  </w:pPr>
                </w:p>
              </w:tc>
              <w:tc>
                <w:tcPr>
                  <w:tcW w:w="19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986" w:type="dxa"/>
                  <w:noWrap w:val="0"/>
                  <w:vAlign w:val="center"/>
                </w:tcPr>
                <w:p>
                  <w:pPr>
                    <w:autoSpaceDE w:val="0"/>
                    <w:autoSpaceDN w:val="0"/>
                    <w:jc w:val="center"/>
                    <w:rPr>
                      <w:rFonts w:hint="default" w:ascii="Times New Roman" w:hAnsi="Times New Roman" w:cs="Times New Roman"/>
                      <w:bCs/>
                      <w:color w:val="auto"/>
                      <w:kern w:val="0"/>
                      <w:szCs w:val="21"/>
                      <w:highlight w:val="none"/>
                    </w:rPr>
                  </w:pPr>
                </w:p>
              </w:tc>
              <w:tc>
                <w:tcPr>
                  <w:tcW w:w="178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90" w:type="dxa"/>
                  <w:noWrap w:val="0"/>
                  <w:vAlign w:val="center"/>
                </w:tcPr>
                <w:p>
                  <w:pPr>
                    <w:jc w:val="center"/>
                    <w:rPr>
                      <w:rFonts w:hint="default" w:ascii="Times New Roman" w:hAnsi="Times New Roman" w:eastAsia="宋体" w:cs="Times New Roman"/>
                      <w:color w:val="auto"/>
                      <w:kern w:val="0"/>
                      <w:szCs w:val="21"/>
                      <w:highlight w:val="none"/>
                      <w:lang w:eastAsia="zh-CN"/>
                    </w:rPr>
                  </w:pPr>
                </w:p>
              </w:tc>
              <w:tc>
                <w:tcPr>
                  <w:tcW w:w="19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86" w:type="dxa"/>
                  <w:noWrap w:val="0"/>
                  <w:vAlign w:val="center"/>
                </w:tcPr>
                <w:p>
                  <w:pPr>
                    <w:autoSpaceDE w:val="0"/>
                    <w:autoSpaceDN w:val="0"/>
                    <w:jc w:val="center"/>
                    <w:rPr>
                      <w:rFonts w:hint="default" w:ascii="Times New Roman" w:hAnsi="Times New Roman" w:cs="Times New Roman"/>
                      <w:bCs/>
                      <w:color w:val="auto"/>
                      <w:kern w:val="0"/>
                      <w:szCs w:val="21"/>
                      <w:highlight w:val="none"/>
                    </w:rPr>
                  </w:pPr>
                </w:p>
              </w:tc>
              <w:tc>
                <w:tcPr>
                  <w:tcW w:w="178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90" w:type="dxa"/>
                  <w:noWrap w:val="0"/>
                  <w:vAlign w:val="center"/>
                </w:tcPr>
                <w:p>
                  <w:pPr>
                    <w:jc w:val="center"/>
                    <w:rPr>
                      <w:rFonts w:hint="eastAsia" w:ascii="Times New Roman" w:hAnsi="Times New Roman" w:eastAsia="宋体" w:cs="Times New Roman"/>
                      <w:color w:val="auto"/>
                      <w:kern w:val="0"/>
                      <w:szCs w:val="21"/>
                      <w:highlight w:val="none"/>
                      <w:lang w:eastAsia="zh-CN"/>
                    </w:rPr>
                  </w:pPr>
                </w:p>
              </w:tc>
              <w:tc>
                <w:tcPr>
                  <w:tcW w:w="19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86" w:type="dxa"/>
                  <w:noWrap w:val="0"/>
                  <w:vAlign w:val="center"/>
                </w:tcPr>
                <w:p>
                  <w:pPr>
                    <w:autoSpaceDE w:val="0"/>
                    <w:autoSpaceDN w:val="0"/>
                    <w:jc w:val="center"/>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rPr>
                    <w:t>合计</w:t>
                  </w:r>
                </w:p>
              </w:tc>
              <w:tc>
                <w:tcPr>
                  <w:tcW w:w="178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37815</w:t>
                  </w:r>
                </w:p>
              </w:tc>
              <w:tc>
                <w:tcPr>
                  <w:tcW w:w="2190" w:type="dxa"/>
                  <w:noWrap w:val="0"/>
                  <w:vAlign w:val="center"/>
                </w:tcPr>
                <w:p>
                  <w:pPr>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合计</w:t>
                  </w:r>
                </w:p>
              </w:tc>
              <w:tc>
                <w:tcPr>
                  <w:tcW w:w="198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37815</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b/>
                <w:bCs/>
                <w:color w:val="auto"/>
                <w:sz w:val="24"/>
                <w:highlight w:val="none"/>
                <w:lang w:val="en-US" w:eastAsia="zh-CN"/>
              </w:rPr>
            </w:pPr>
            <w:r>
              <w:rPr>
                <w:rFonts w:hint="default" w:ascii="Times New Roman" w:hAnsi="Times New Roman" w:cs="Times New Roman"/>
                <w:b/>
                <w:bCs/>
                <w:color w:val="auto"/>
                <w:sz w:val="24"/>
                <w:highlight w:val="none"/>
                <w:lang w:val="en-US" w:eastAsia="zh-CN"/>
              </w:rPr>
              <w:t>5</w:t>
            </w:r>
            <w:r>
              <w:rPr>
                <w:rFonts w:hint="eastAsia"/>
                <w:b/>
                <w:bCs/>
                <w:color w:val="auto"/>
                <w:sz w:val="24"/>
                <w:highlight w:val="none"/>
                <w:lang w:val="en-US" w:eastAsia="zh-CN"/>
              </w:rPr>
              <w:t>、</w:t>
            </w:r>
            <w:r>
              <w:rPr>
                <w:rFonts w:hint="default"/>
                <w:b/>
                <w:color w:val="auto"/>
                <w:sz w:val="24"/>
                <w:szCs w:val="24"/>
                <w:highlight w:val="none"/>
              </w:rPr>
              <w:t>主要产品及产能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本项目建成后，</w:t>
            </w:r>
            <w:r>
              <w:rPr>
                <w:rFonts w:hint="eastAsia" w:ascii="Times New Roman" w:hAnsi="Times New Roman" w:eastAsia="宋体" w:cs="Times New Roman"/>
                <w:color w:val="auto"/>
                <w:sz w:val="24"/>
                <w:szCs w:val="24"/>
                <w:highlight w:val="none"/>
                <w:lang w:eastAsia="zh-CN"/>
              </w:rPr>
              <w:t>可以</w:t>
            </w:r>
            <w:r>
              <w:rPr>
                <w:rFonts w:hint="eastAsia" w:cs="Times New Roman"/>
                <w:color w:val="auto"/>
                <w:sz w:val="24"/>
                <w:szCs w:val="24"/>
                <w:highlight w:val="none"/>
                <w:lang w:val="en-US" w:eastAsia="zh-CN"/>
              </w:rPr>
              <w:t>年</w:t>
            </w:r>
            <w:r>
              <w:rPr>
                <w:rFonts w:hint="eastAsia" w:ascii="Times New Roman" w:hAnsi="Times New Roman" w:cs="Times New Roman"/>
                <w:color w:val="auto"/>
                <w:sz w:val="24"/>
                <w:szCs w:val="24"/>
                <w:lang w:eastAsia="zh-CN"/>
              </w:rPr>
              <w:t>生</w:t>
            </w:r>
            <w:r>
              <w:rPr>
                <w:rFonts w:hint="default" w:ascii="Times New Roman" w:hAnsi="Times New Roman" w:cs="Times New Roman"/>
                <w:color w:val="auto"/>
                <w:sz w:val="24"/>
                <w:szCs w:val="24"/>
              </w:rPr>
              <w:t>产</w:t>
            </w:r>
            <w:r>
              <w:rPr>
                <w:rFonts w:hint="eastAsia" w:ascii="Times New Roman" w:hAnsi="Times New Roman" w:cs="Times New Roman"/>
                <w:color w:val="auto"/>
                <w:sz w:val="24"/>
                <w:szCs w:val="24"/>
                <w:lang w:val="en-US" w:eastAsia="zh-CN"/>
              </w:rPr>
              <w:t>商品</w:t>
            </w:r>
            <w:r>
              <w:rPr>
                <w:rFonts w:hint="default" w:ascii="Times New Roman" w:hAnsi="Times New Roman" w:cs="Times New Roman"/>
                <w:color w:val="auto"/>
                <w:sz w:val="24"/>
                <w:szCs w:val="24"/>
              </w:rPr>
              <w:t>混凝土</w:t>
            </w:r>
            <w:r>
              <w:rPr>
                <w:rFonts w:hint="eastAsia" w:cs="Times New Roman"/>
                <w:color w:val="auto"/>
                <w:sz w:val="24"/>
                <w:szCs w:val="24"/>
                <w:lang w:val="en-US" w:eastAsia="zh-CN"/>
              </w:rPr>
              <w:t>15000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eastAsia" w:ascii="Times New Roman" w:hAnsi="Times New Roman" w:eastAsia="宋体" w:cs="Times New Roman"/>
                <w:color w:val="auto"/>
                <w:sz w:val="24"/>
                <w:szCs w:val="24"/>
                <w:highlight w:val="none"/>
              </w:rPr>
              <w:t>。</w:t>
            </w:r>
            <w:r>
              <w:rPr>
                <w:rFonts w:hint="eastAsia" w:cs="Times New Roman"/>
                <w:color w:val="auto"/>
                <w:sz w:val="24"/>
                <w:szCs w:val="24"/>
                <w:lang w:eastAsia="zh-CN"/>
              </w:rPr>
              <w:t>本项目混凝土的密度按</w:t>
            </w:r>
            <w:r>
              <w:rPr>
                <w:rFonts w:hint="default" w:ascii="Times New Roman" w:hAnsi="Times New Roman" w:cs="Times New Roman"/>
                <w:color w:val="auto"/>
                <w:sz w:val="24"/>
                <w:szCs w:val="24"/>
                <w:lang w:val="en-US" w:eastAsia="zh-CN"/>
              </w:rPr>
              <w:t>2</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eastAsia" w:cs="Times New Roman"/>
                <w:b w:val="0"/>
                <w:bCs w:val="0"/>
                <w:color w:val="auto"/>
                <w:sz w:val="24"/>
                <w:szCs w:val="24"/>
                <w:highlight w:val="none"/>
                <w:vertAlign w:val="baseline"/>
                <w:lang w:val="en-US" w:eastAsia="zh-CN"/>
              </w:rPr>
              <w:t>计。</w:t>
            </w:r>
          </w:p>
          <w:p>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4"/>
                <w:szCs w:val="24"/>
                <w:highlight w:val="none"/>
                <w:lang w:val="en-US" w:eastAsia="zh-CN"/>
              </w:rPr>
            </w:pPr>
            <w:r>
              <w:rPr>
                <w:rFonts w:hint="eastAsia"/>
                <w:color w:val="auto"/>
                <w:sz w:val="24"/>
                <w:szCs w:val="24"/>
                <w:highlight w:val="none"/>
                <w:lang w:val="en-US" w:eastAsia="zh-CN"/>
              </w:rPr>
              <w:t>表</w:t>
            </w:r>
            <w:r>
              <w:rPr>
                <w:rFonts w:hint="default" w:ascii="Times New Roman" w:hAnsi="Times New Roman" w:cs="Times New Roman"/>
                <w:color w:val="auto"/>
                <w:sz w:val="24"/>
                <w:szCs w:val="24"/>
                <w:highlight w:val="none"/>
                <w:lang w:val="en-US" w:eastAsia="zh-CN"/>
              </w:rPr>
              <w:t>2</w:t>
            </w:r>
            <w:r>
              <w:rPr>
                <w:rFonts w:hint="eastAsia"/>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6</w:t>
            </w:r>
            <w:r>
              <w:rPr>
                <w:rFonts w:hint="eastAsia"/>
                <w:color w:val="auto"/>
                <w:sz w:val="24"/>
                <w:szCs w:val="24"/>
                <w:highlight w:val="none"/>
                <w:lang w:val="en-US" w:eastAsia="zh-CN"/>
              </w:rPr>
              <w:t xml:space="preserve">   本项目产品情况一览表</w:t>
            </w:r>
          </w:p>
          <w:tbl>
            <w:tblPr>
              <w:tblStyle w:val="32"/>
              <w:tblW w:w="837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397"/>
              <w:gridCol w:w="1084"/>
              <w:gridCol w:w="1119"/>
              <w:gridCol w:w="2162"/>
              <w:gridCol w:w="15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015" w:type="dxa"/>
                  <w:noWrap w:val="0"/>
                  <w:vAlign w:val="center"/>
                </w:tcPr>
                <w:p>
                  <w:pPr>
                    <w:contextualSpacing/>
                    <w:jc w:val="center"/>
                    <w:rPr>
                      <w:rFonts w:hint="eastAsia"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序号</w:t>
                  </w:r>
                </w:p>
              </w:tc>
              <w:tc>
                <w:tcPr>
                  <w:tcW w:w="1397" w:type="dxa"/>
                  <w:noWrap w:val="0"/>
                  <w:vAlign w:val="center"/>
                </w:tcPr>
                <w:p>
                  <w:pPr>
                    <w:contextualSpacing/>
                    <w:jc w:val="center"/>
                    <w:rPr>
                      <w:rFonts w:hint="eastAsia" w:ascii="Times New Roman" w:hAnsi="Times New Roman" w:eastAsia="宋体" w:cs="Times New Roman"/>
                      <w:snapToGrid w:val="0"/>
                      <w:color w:val="auto"/>
                      <w:szCs w:val="21"/>
                      <w:highlight w:val="none"/>
                    </w:rPr>
                  </w:pPr>
                  <w:r>
                    <w:rPr>
                      <w:rFonts w:hint="eastAsia" w:ascii="Times New Roman" w:hAnsi="Times New Roman" w:eastAsia="宋体" w:cs="Times New Roman"/>
                      <w:snapToGrid w:val="0"/>
                      <w:color w:val="auto"/>
                      <w:szCs w:val="21"/>
                      <w:highlight w:val="none"/>
                      <w:lang w:eastAsia="zh-CN"/>
                    </w:rPr>
                    <w:t>产品</w:t>
                  </w:r>
                  <w:r>
                    <w:rPr>
                      <w:rFonts w:ascii="Times New Roman" w:hAnsi="Times New Roman" w:eastAsia="宋体" w:cs="Times New Roman"/>
                      <w:snapToGrid w:val="0"/>
                      <w:color w:val="auto"/>
                      <w:szCs w:val="21"/>
                      <w:highlight w:val="none"/>
                    </w:rPr>
                    <w:t>名称</w:t>
                  </w:r>
                </w:p>
              </w:tc>
              <w:tc>
                <w:tcPr>
                  <w:tcW w:w="1084" w:type="dxa"/>
                  <w:noWrap w:val="0"/>
                  <w:vAlign w:val="center"/>
                </w:tcPr>
                <w:p>
                  <w:pPr>
                    <w:contextualSpacing/>
                    <w:jc w:val="center"/>
                    <w:rPr>
                      <w:rFonts w:hint="eastAsia" w:ascii="Times New Roman" w:hAnsi="Times New Roman" w:eastAsia="宋体" w:cs="Times New Roman"/>
                      <w:snapToGrid w:val="0"/>
                      <w:color w:val="auto"/>
                      <w:szCs w:val="21"/>
                      <w:highlight w:val="none"/>
                      <w:lang w:eastAsia="zh-CN"/>
                    </w:rPr>
                  </w:pPr>
                  <w:r>
                    <w:rPr>
                      <w:rFonts w:hint="eastAsia" w:ascii="Times New Roman" w:hAnsi="Times New Roman" w:eastAsia="宋体" w:cs="Times New Roman"/>
                      <w:snapToGrid w:val="0"/>
                      <w:color w:val="auto"/>
                      <w:szCs w:val="21"/>
                      <w:highlight w:val="none"/>
                      <w:lang w:eastAsia="zh-CN"/>
                    </w:rPr>
                    <w:t>单位</w:t>
                  </w:r>
                </w:p>
              </w:tc>
              <w:tc>
                <w:tcPr>
                  <w:tcW w:w="1119" w:type="dxa"/>
                  <w:noWrap w:val="0"/>
                  <w:vAlign w:val="center"/>
                </w:tcPr>
                <w:p>
                  <w:pPr>
                    <w:contextualSpacing/>
                    <w:jc w:val="center"/>
                    <w:rPr>
                      <w:rFonts w:hint="eastAsia" w:ascii="Times New Roman" w:hAnsi="Times New Roman" w:eastAsia="宋体" w:cs="Times New Roman"/>
                      <w:snapToGrid w:val="0"/>
                      <w:color w:val="auto"/>
                      <w:szCs w:val="21"/>
                      <w:highlight w:val="none"/>
                      <w:lang w:eastAsia="zh-CN"/>
                    </w:rPr>
                  </w:pPr>
                  <w:r>
                    <w:rPr>
                      <w:rFonts w:hint="eastAsia" w:ascii="Times New Roman" w:hAnsi="Times New Roman" w:eastAsia="宋体" w:cs="Times New Roman"/>
                      <w:snapToGrid w:val="0"/>
                      <w:color w:val="auto"/>
                      <w:szCs w:val="21"/>
                      <w:highlight w:val="none"/>
                      <w:lang w:eastAsia="zh-CN"/>
                    </w:rPr>
                    <w:t>数量</w:t>
                  </w:r>
                </w:p>
              </w:tc>
              <w:tc>
                <w:tcPr>
                  <w:tcW w:w="2162" w:type="dxa"/>
                  <w:noWrap w:val="0"/>
                  <w:vAlign w:val="center"/>
                </w:tcPr>
                <w:p>
                  <w:pPr>
                    <w:contextualSpacing/>
                    <w:jc w:val="center"/>
                    <w:rPr>
                      <w:rFonts w:hint="default"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质量标准</w:t>
                  </w:r>
                </w:p>
              </w:tc>
              <w:tc>
                <w:tcPr>
                  <w:tcW w:w="1599" w:type="dxa"/>
                  <w:noWrap w:val="0"/>
                  <w:vAlign w:val="center"/>
                </w:tcPr>
                <w:p>
                  <w:pPr>
                    <w:contextualSpacing/>
                    <w:jc w:val="center"/>
                    <w:rPr>
                      <w:rFonts w:hint="eastAsia"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015" w:type="dxa"/>
                  <w:noWrap w:val="0"/>
                  <w:vAlign w:val="center"/>
                </w:tcPr>
                <w:p>
                  <w:pPr>
                    <w:contextualSpacing/>
                    <w:jc w:val="center"/>
                    <w:rPr>
                      <w:rFonts w:ascii="Times New Roman" w:hAnsi="Times New Roman" w:eastAsia="宋体" w:cs="Times New Roman"/>
                      <w:snapToGrid w:val="0"/>
                      <w:color w:val="auto"/>
                      <w:szCs w:val="21"/>
                      <w:highlight w:val="none"/>
                      <w:lang w:val="en-US" w:eastAsia="zh-CN"/>
                    </w:rPr>
                  </w:pPr>
                  <w:r>
                    <w:rPr>
                      <w:rFonts w:hint="default" w:ascii="Times New Roman" w:hAnsi="Times New Roman" w:eastAsia="宋体" w:cs="Times New Roman"/>
                      <w:snapToGrid w:val="0"/>
                      <w:color w:val="auto"/>
                      <w:szCs w:val="21"/>
                      <w:highlight w:val="none"/>
                      <w:lang w:val="en-US" w:eastAsia="zh-CN"/>
                    </w:rPr>
                    <w:t>1</w:t>
                  </w:r>
                </w:p>
              </w:tc>
              <w:tc>
                <w:tcPr>
                  <w:tcW w:w="1397" w:type="dxa"/>
                  <w:noWrap w:val="0"/>
                  <w:vAlign w:val="center"/>
                </w:tcPr>
                <w:p>
                  <w:pPr>
                    <w:contextualSpacing/>
                    <w:jc w:val="center"/>
                    <w:rPr>
                      <w:rFonts w:hint="eastAsia" w:ascii="Times New Roman" w:hAnsi="Times New Roman" w:eastAsia="宋体" w:cs="Times New Roman"/>
                      <w:snapToGrid w:val="0"/>
                      <w:color w:val="auto"/>
                      <w:szCs w:val="21"/>
                      <w:highlight w:val="none"/>
                      <w:lang w:val="en-US" w:eastAsia="zh-CN"/>
                    </w:rPr>
                  </w:pPr>
                  <w:r>
                    <w:rPr>
                      <w:rFonts w:hint="default" w:ascii="Times New Roman" w:hAnsi="Times New Roman" w:eastAsia="宋体" w:cs="Times New Roman"/>
                      <w:snapToGrid w:val="0"/>
                      <w:color w:val="auto"/>
                      <w:szCs w:val="21"/>
                      <w:highlight w:val="none"/>
                    </w:rPr>
                    <w:t>混凝土</w:t>
                  </w:r>
                </w:p>
              </w:tc>
              <w:tc>
                <w:tcPr>
                  <w:tcW w:w="1084" w:type="dxa"/>
                  <w:noWrap w:val="0"/>
                  <w:vAlign w:val="center"/>
                </w:tcPr>
                <w:p>
                  <w:pPr>
                    <w:contextualSpacing/>
                    <w:jc w:val="center"/>
                    <w:rPr>
                      <w:rFonts w:hint="eastAsia" w:ascii="Times New Roman" w:hAnsi="Times New Roman" w:eastAsia="宋体" w:cs="Times New Roman"/>
                      <w:snapToGrid w:val="0"/>
                      <w:color w:val="auto"/>
                      <w:szCs w:val="21"/>
                      <w:highlight w:val="none"/>
                      <w:lang w:val="en-US" w:eastAsia="zh-CN"/>
                    </w:rPr>
                  </w:pPr>
                  <w:r>
                    <w:rPr>
                      <w:rFonts w:hint="default" w:ascii="Times New Roman" w:hAnsi="Times New Roman" w:eastAsia="宋体" w:cs="Times New Roman"/>
                      <w:snapToGrid w:val="0"/>
                      <w:color w:val="auto"/>
                      <w:szCs w:val="21"/>
                      <w:highlight w:val="none"/>
                      <w:lang w:val="en-US" w:eastAsia="zh-CN"/>
                    </w:rPr>
                    <w:t>m</w:t>
                  </w:r>
                  <w:r>
                    <w:rPr>
                      <w:rFonts w:hint="default" w:ascii="Times New Roman" w:hAnsi="Times New Roman" w:eastAsia="宋体" w:cs="Times New Roman"/>
                      <w:snapToGrid w:val="0"/>
                      <w:color w:val="auto"/>
                      <w:szCs w:val="21"/>
                      <w:highlight w:val="none"/>
                      <w:vertAlign w:val="superscript"/>
                      <w:lang w:val="en-US" w:eastAsia="zh-CN"/>
                    </w:rPr>
                    <w:t>3</w:t>
                  </w:r>
                  <w:r>
                    <w:rPr>
                      <w:rFonts w:hint="eastAsia" w:ascii="Times New Roman" w:hAnsi="Times New Roman" w:eastAsia="宋体" w:cs="Times New Roman"/>
                      <w:snapToGrid w:val="0"/>
                      <w:color w:val="auto"/>
                      <w:szCs w:val="21"/>
                      <w:highlight w:val="none"/>
                      <w:lang w:val="en-US" w:eastAsia="zh-CN"/>
                    </w:rPr>
                    <w:t>/</w:t>
                  </w:r>
                  <w:r>
                    <w:rPr>
                      <w:rFonts w:hint="default" w:ascii="Times New Roman" w:hAnsi="Times New Roman" w:eastAsia="宋体" w:cs="Times New Roman"/>
                      <w:snapToGrid w:val="0"/>
                      <w:color w:val="auto"/>
                      <w:szCs w:val="21"/>
                      <w:highlight w:val="none"/>
                      <w:lang w:val="en-US" w:eastAsia="zh-CN"/>
                    </w:rPr>
                    <w:t>a</w:t>
                  </w:r>
                </w:p>
              </w:tc>
              <w:tc>
                <w:tcPr>
                  <w:tcW w:w="1119" w:type="dxa"/>
                  <w:noWrap w:val="0"/>
                  <w:vAlign w:val="center"/>
                </w:tcPr>
                <w:p>
                  <w:pPr>
                    <w:contextualSpacing/>
                    <w:jc w:val="center"/>
                    <w:rPr>
                      <w:rFonts w:hint="default" w:ascii="Times New Roman" w:hAnsi="Times New Roman" w:eastAsia="宋体" w:cs="Times New Roman"/>
                      <w:snapToGrid w:val="0"/>
                      <w:color w:val="auto"/>
                      <w:szCs w:val="21"/>
                      <w:highlight w:val="none"/>
                      <w:lang w:val="en-US" w:eastAsia="zh-CN"/>
                    </w:rPr>
                  </w:pPr>
                  <w:r>
                    <w:rPr>
                      <w:rFonts w:hint="eastAsia" w:cs="Times New Roman"/>
                      <w:snapToGrid w:val="0"/>
                      <w:color w:val="auto"/>
                      <w:szCs w:val="21"/>
                      <w:highlight w:val="none"/>
                      <w:lang w:val="en-US" w:eastAsia="zh-CN"/>
                    </w:rPr>
                    <w:t>150</w:t>
                  </w:r>
                  <w:r>
                    <w:rPr>
                      <w:rFonts w:hint="default" w:ascii="Times New Roman" w:hAnsi="Times New Roman" w:eastAsia="宋体" w:cs="Times New Roman"/>
                      <w:snapToGrid w:val="0"/>
                      <w:color w:val="auto"/>
                      <w:szCs w:val="21"/>
                      <w:highlight w:val="none"/>
                      <w:lang w:val="en-US" w:eastAsia="zh-CN"/>
                    </w:rPr>
                    <w:t>00</w:t>
                  </w:r>
                </w:p>
              </w:tc>
              <w:tc>
                <w:tcPr>
                  <w:tcW w:w="2162" w:type="dxa"/>
                  <w:noWrap w:val="0"/>
                  <w:vAlign w:val="center"/>
                </w:tcPr>
                <w:p>
                  <w:pPr>
                    <w:contextualSpacing/>
                    <w:jc w:val="center"/>
                    <w:rPr>
                      <w:rFonts w:hint="default" w:ascii="Times New Roman" w:hAnsi="Times New Roman" w:eastAsia="宋体" w:cs="Times New Roman"/>
                      <w:snapToGrid w:val="0"/>
                      <w:color w:val="auto"/>
                      <w:szCs w:val="21"/>
                      <w:highlight w:val="none"/>
                      <w:lang w:val="en-US" w:eastAsia="zh-CN"/>
                    </w:rPr>
                  </w:pPr>
                  <w:r>
                    <w:rPr>
                      <w:rFonts w:hint="default" w:ascii="Times New Roman" w:hAnsi="Times New Roman" w:eastAsia="宋体" w:cs="Times New Roman"/>
                      <w:snapToGrid w:val="0"/>
                      <w:color w:val="auto"/>
                      <w:szCs w:val="21"/>
                      <w:highlight w:val="none"/>
                      <w:lang w:val="en-US" w:eastAsia="zh-CN"/>
                    </w:rPr>
                    <w:t>GB</w:t>
                  </w:r>
                  <w:r>
                    <w:rPr>
                      <w:rFonts w:hint="eastAsia" w:ascii="Times New Roman" w:hAnsi="Times New Roman" w:eastAsia="宋体" w:cs="Times New Roman"/>
                      <w:snapToGrid w:val="0"/>
                      <w:color w:val="auto"/>
                      <w:szCs w:val="21"/>
                      <w:highlight w:val="none"/>
                      <w:lang w:val="en-US" w:eastAsia="zh-CN"/>
                    </w:rPr>
                    <w:t>/</w:t>
                  </w:r>
                  <w:r>
                    <w:rPr>
                      <w:rFonts w:hint="default" w:ascii="Times New Roman" w:hAnsi="Times New Roman" w:eastAsia="宋体" w:cs="Times New Roman"/>
                      <w:snapToGrid w:val="0"/>
                      <w:color w:val="auto"/>
                      <w:szCs w:val="21"/>
                      <w:highlight w:val="none"/>
                      <w:lang w:val="en-US" w:eastAsia="zh-CN"/>
                    </w:rPr>
                    <w:t>T 4902-2012</w:t>
                  </w:r>
                </w:p>
              </w:tc>
              <w:tc>
                <w:tcPr>
                  <w:tcW w:w="1599" w:type="dxa"/>
                  <w:noWrap w:val="0"/>
                  <w:vAlign w:val="center"/>
                </w:tcPr>
                <w:p>
                  <w:pPr>
                    <w:contextualSpacing/>
                    <w:jc w:val="center"/>
                    <w:rPr>
                      <w:rFonts w:hint="default"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密度</w:t>
                  </w:r>
                  <w:r>
                    <w:rPr>
                      <w:rFonts w:hint="default" w:ascii="Times New Roman" w:hAnsi="Times New Roman" w:eastAsia="宋体" w:cs="Times New Roman"/>
                      <w:snapToGrid w:val="0"/>
                      <w:color w:val="auto"/>
                      <w:szCs w:val="21"/>
                      <w:highlight w:val="none"/>
                      <w:lang w:val="en-US" w:eastAsia="zh-CN"/>
                    </w:rPr>
                    <w:t>2</w:t>
                  </w:r>
                  <w:r>
                    <w:rPr>
                      <w:rFonts w:hint="eastAsia" w:ascii="Times New Roman" w:hAnsi="Times New Roman" w:eastAsia="宋体" w:cs="Times New Roman"/>
                      <w:snapToGrid w:val="0"/>
                      <w:color w:val="auto"/>
                      <w:szCs w:val="21"/>
                      <w:highlight w:val="none"/>
                      <w:lang w:val="en-US" w:eastAsia="zh-CN"/>
                    </w:rPr>
                    <w:t>.</w:t>
                  </w:r>
                  <w:r>
                    <w:rPr>
                      <w:rFonts w:hint="default" w:ascii="Times New Roman" w:hAnsi="Times New Roman" w:cs="Times New Roman"/>
                      <w:snapToGrid w:val="0"/>
                      <w:color w:val="auto"/>
                      <w:szCs w:val="21"/>
                      <w:highlight w:val="none"/>
                      <w:lang w:val="en-US" w:eastAsia="zh-CN"/>
                    </w:rPr>
                    <w:t>5</w:t>
                  </w:r>
                  <w:r>
                    <w:rPr>
                      <w:rFonts w:hint="default" w:ascii="Times New Roman" w:hAnsi="Times New Roman" w:eastAsia="宋体" w:cs="Times New Roman"/>
                      <w:snapToGrid w:val="0"/>
                      <w:color w:val="auto"/>
                      <w:szCs w:val="21"/>
                      <w:highlight w:val="none"/>
                      <w:lang w:val="en-US" w:eastAsia="zh-CN"/>
                    </w:rPr>
                    <w:t>t/m</w:t>
                  </w:r>
                  <w:r>
                    <w:rPr>
                      <w:rFonts w:hint="default" w:ascii="Times New Roman" w:hAnsi="Times New Roman" w:eastAsia="宋体" w:cs="Times New Roman"/>
                      <w:snapToGrid w:val="0"/>
                      <w:color w:val="auto"/>
                      <w:szCs w:val="21"/>
                      <w:highlight w:val="none"/>
                      <w:vertAlign w:val="superscript"/>
                      <w:lang w:val="en-US" w:eastAsia="zh-CN"/>
                    </w:rPr>
                    <w:t>3</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00" w:lineRule="exact"/>
              <w:textAlignment w:val="auto"/>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cs="Times New Roman"/>
                <w:b/>
                <w:bCs/>
                <w:color w:val="auto"/>
                <w:sz w:val="21"/>
                <w:szCs w:val="21"/>
                <w:highlight w:val="none"/>
                <w:lang w:val="en-US" w:eastAsia="zh-CN"/>
              </w:rPr>
              <w:t>注：则</w:t>
            </w:r>
            <w:r>
              <w:rPr>
                <w:rFonts w:hint="eastAsia" w:ascii="Times New Roman" w:hAnsi="Times New Roman" w:cs="Times New Roman"/>
                <w:b/>
                <w:bCs/>
                <w:color w:val="auto"/>
                <w:sz w:val="21"/>
                <w:szCs w:val="21"/>
                <w:highlight w:val="none"/>
                <w:lang w:val="en-US" w:eastAsia="zh-CN"/>
              </w:rPr>
              <w:t>本工程</w:t>
            </w:r>
            <w:r>
              <w:rPr>
                <w:rFonts w:hint="default" w:ascii="Times New Roman" w:hAnsi="Times New Roman" w:cs="Times New Roman"/>
                <w:b/>
                <w:bCs/>
                <w:color w:val="auto"/>
                <w:sz w:val="21"/>
                <w:szCs w:val="21"/>
                <w:highlight w:val="none"/>
                <w:lang w:val="en-US" w:eastAsia="zh-CN"/>
              </w:rPr>
              <w:t>产品</w:t>
            </w:r>
            <w:r>
              <w:rPr>
                <w:rFonts w:hint="eastAsia" w:ascii="Times New Roman" w:hAnsi="Times New Roman" w:cs="Times New Roman"/>
                <w:b/>
                <w:bCs/>
                <w:color w:val="auto"/>
                <w:sz w:val="21"/>
                <w:szCs w:val="21"/>
                <w:highlight w:val="none"/>
                <w:lang w:val="en-US" w:eastAsia="zh-CN"/>
              </w:rPr>
              <w:t>总</w:t>
            </w:r>
            <w:r>
              <w:rPr>
                <w:rFonts w:hint="default" w:ascii="Times New Roman" w:hAnsi="Times New Roman" w:cs="Times New Roman"/>
                <w:b/>
                <w:bCs/>
                <w:color w:val="auto"/>
                <w:sz w:val="21"/>
                <w:szCs w:val="21"/>
                <w:highlight w:val="none"/>
                <w:lang w:val="en-US" w:eastAsia="zh-CN"/>
              </w:rPr>
              <w:t>重量约</w:t>
            </w:r>
            <w:r>
              <w:rPr>
                <w:rFonts w:hint="eastAsia" w:cs="Times New Roman"/>
                <w:b/>
                <w:bCs/>
                <w:color w:val="auto"/>
                <w:sz w:val="21"/>
                <w:szCs w:val="21"/>
                <w:highlight w:val="none"/>
                <w:lang w:val="en-US" w:eastAsia="zh-CN"/>
              </w:rPr>
              <w:t>375</w:t>
            </w:r>
            <w:r>
              <w:rPr>
                <w:rFonts w:hint="default" w:ascii="Times New Roman" w:hAnsi="Times New Roman" w:cs="Times New Roman"/>
                <w:b/>
                <w:bCs/>
                <w:color w:val="auto"/>
                <w:sz w:val="21"/>
                <w:szCs w:val="21"/>
                <w:highlight w:val="none"/>
                <w:lang w:val="en-US" w:eastAsia="zh-CN"/>
              </w:rPr>
              <w:t>00t</w:t>
            </w:r>
            <w:r>
              <w:rPr>
                <w:rFonts w:hint="eastAsia" w:ascii="Times New Roman" w:hAnsi="Times New Roman"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a</w:t>
            </w:r>
            <w:r>
              <w:rPr>
                <w:rFonts w:hint="eastAsia" w:ascii="Times New Roman" w:hAnsi="Times New Roman" w:cs="Times New Roman"/>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产品质量按照《预拌混凝土》（</w:t>
            </w:r>
            <w:r>
              <w:rPr>
                <w:rFonts w:hint="default" w:ascii="Times New Roman" w:hAnsi="Times New Roman" w:eastAsia="宋体" w:cs="Times New Roman"/>
                <w:color w:val="auto"/>
                <w:sz w:val="24"/>
                <w:szCs w:val="24"/>
                <w:highlight w:val="none"/>
              </w:rPr>
              <w:t>GB</w:t>
            </w:r>
            <w:r>
              <w:rPr>
                <w:rFonts w:hint="eastAsia"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T4902</w:t>
            </w:r>
            <w:r>
              <w:rPr>
                <w:rFonts w:hint="eastAsia"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2012</w:t>
            </w:r>
            <w:r>
              <w:rPr>
                <w:rFonts w:hint="eastAsia" w:ascii="Times New Roman" w:hAnsi="Times New Roman" w:eastAsia="宋体" w:cs="Times New Roman"/>
                <w:color w:val="auto"/>
                <w:sz w:val="24"/>
                <w:szCs w:val="24"/>
                <w:highlight w:val="none"/>
              </w:rPr>
              <w:t>）执行</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要求如下</w:t>
            </w:r>
            <w:r>
              <w:rPr>
                <w:rFonts w:hint="eastAsia"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强度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混凝土强度应满足设计要求,检验评定应符合GB/T50107的规定</w:t>
            </w:r>
            <w:r>
              <w:rPr>
                <w:rFonts w:hint="eastAsia" w:ascii="Times New Roman" w:hAnsi="Times New Roman"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坍落度和坍落度经时损失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常规品的泵送混凝土坍落度控制目标值不宜大于180 mm,并应满足施工要求,坍落度经时损失不宜大于30 mm/h;特制品混凝土坍落度应满足相关标准规定和施工要求。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扩展度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自密实混凝土扩展度控制目标值不宜小于550 mm</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并应满足施工要求</w:t>
            </w:r>
            <w:r>
              <w:rPr>
                <w:rFonts w:hint="eastAsia" w:ascii="Times New Roman" w:hAnsi="Times New Roman"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含气量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混凝土含气量实测值不宜大于7%</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并与合同规定值的允许偏差不宜超过士1.0%</w:t>
            </w:r>
            <w:r>
              <w:rPr>
                <w:rFonts w:hint="eastAsia" w:ascii="Times New Roman" w:hAnsi="Times New Roman" w:cs="Times New Roman"/>
                <w:color w:val="auto"/>
                <w:sz w:val="24"/>
                <w:szCs w:val="24"/>
                <w:highlight w:val="none"/>
                <w:lang w:eastAsia="zh-CN"/>
              </w:rPr>
              <w:t>。</w:t>
            </w:r>
          </w:p>
          <w:p>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b/>
                <w:bCs/>
                <w:color w:val="auto"/>
                <w:sz w:val="24"/>
                <w:highlight w:val="none"/>
              </w:rPr>
            </w:pPr>
            <w:r>
              <w:rPr>
                <w:rFonts w:hint="default" w:ascii="Times New Roman" w:hAnsi="Times New Roman" w:cs="Times New Roman"/>
                <w:b/>
                <w:bCs/>
                <w:color w:val="auto"/>
                <w:sz w:val="24"/>
                <w:highlight w:val="none"/>
                <w:lang w:val="en-US" w:eastAsia="zh-CN"/>
              </w:rPr>
              <w:t>6</w:t>
            </w:r>
            <w:r>
              <w:rPr>
                <w:b/>
                <w:bCs/>
                <w:color w:val="auto"/>
                <w:sz w:val="24"/>
                <w:highlight w:val="none"/>
              </w:rPr>
              <w:t>、劳动定员</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本项目投产后，年运行天数为</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lang w:val="en-US" w:eastAsia="zh-CN"/>
              </w:rPr>
              <w:t>0</w:t>
            </w:r>
            <w:r>
              <w:rPr>
                <w:rFonts w:ascii="Times New Roman" w:hAnsi="Times New Roman" w:eastAsia="宋体" w:cs="Times New Roman"/>
                <w:color w:val="auto"/>
                <w:sz w:val="24"/>
                <w:highlight w:val="none"/>
              </w:rPr>
              <w:t>天，</w:t>
            </w:r>
            <w:r>
              <w:rPr>
                <w:rFonts w:hint="default" w:ascii="Times New Roman" w:hAnsi="Times New Roman" w:cs="Times New Roman"/>
                <w:color w:val="auto"/>
                <w:sz w:val="24"/>
                <w:szCs w:val="24"/>
                <w:highlight w:val="none"/>
              </w:rPr>
              <w:t>每天运行</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h，年运行</w:t>
            </w:r>
            <w:r>
              <w:rPr>
                <w:rFonts w:hint="eastAsia" w:cs="Times New Roman"/>
                <w:color w:val="auto"/>
                <w:sz w:val="24"/>
                <w:szCs w:val="24"/>
                <w:highlight w:val="none"/>
                <w:lang w:val="en-US" w:eastAsia="zh-CN"/>
              </w:rPr>
              <w:t>100</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h，</w:t>
            </w:r>
            <w:r>
              <w:rPr>
                <w:rFonts w:ascii="Times New Roman" w:hAnsi="Times New Roman" w:eastAsia="宋体" w:cs="Times New Roman"/>
                <w:color w:val="auto"/>
                <w:sz w:val="24"/>
                <w:highlight w:val="none"/>
              </w:rPr>
              <w:t>本项目劳动定员</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0</w:t>
            </w:r>
            <w:r>
              <w:rPr>
                <w:rFonts w:ascii="Times New Roman" w:hAnsi="Times New Roman" w:eastAsia="宋体" w:cs="Times New Roman"/>
                <w:color w:val="auto"/>
                <w:sz w:val="24"/>
                <w:highlight w:val="none"/>
              </w:rPr>
              <w:t>人。厂区内无食堂、无宿舍。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b/>
                <w:bCs/>
                <w:color w:val="auto"/>
                <w:sz w:val="24"/>
                <w:highlight w:val="none"/>
              </w:rPr>
            </w:pPr>
            <w:r>
              <w:rPr>
                <w:rFonts w:hint="default" w:ascii="Times New Roman" w:hAnsi="Times New Roman" w:cs="Times New Roman"/>
                <w:b/>
                <w:bCs/>
                <w:color w:val="auto"/>
                <w:sz w:val="24"/>
                <w:highlight w:val="none"/>
                <w:lang w:val="en-US" w:eastAsia="zh-CN"/>
              </w:rPr>
              <w:t>7</w:t>
            </w:r>
            <w:r>
              <w:rPr>
                <w:b/>
                <w:bCs/>
                <w:color w:val="auto"/>
                <w:sz w:val="24"/>
                <w:highlight w:val="none"/>
              </w:rPr>
              <w:t>、公</w:t>
            </w:r>
            <w:r>
              <w:rPr>
                <w:rFonts w:hint="eastAsia"/>
                <w:b/>
                <w:bCs/>
                <w:color w:val="auto"/>
                <w:sz w:val="24"/>
                <w:highlight w:val="none"/>
                <w:lang w:val="en-US" w:eastAsia="zh-CN"/>
              </w:rPr>
              <w:t>用</w:t>
            </w:r>
            <w:r>
              <w:rPr>
                <w:b/>
                <w:bCs/>
                <w:color w:val="auto"/>
                <w:sz w:val="24"/>
                <w:highlight w:val="none"/>
              </w:rPr>
              <w:t>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color w:val="auto"/>
                <w:sz w:val="24"/>
                <w:highlight w:val="none"/>
              </w:rPr>
            </w:pPr>
            <w:r>
              <w:rPr>
                <w:color w:val="auto"/>
                <w:sz w:val="24"/>
                <w:highlight w:val="none"/>
              </w:rPr>
              <w:t>（</w:t>
            </w:r>
            <w:r>
              <w:rPr>
                <w:rFonts w:hint="default" w:ascii="Times New Roman" w:hAnsi="Times New Roman" w:cs="Times New Roman"/>
                <w:color w:val="auto"/>
                <w:sz w:val="24"/>
                <w:highlight w:val="none"/>
              </w:rPr>
              <w:t>1</w:t>
            </w:r>
            <w:r>
              <w:rPr>
                <w:color w:val="auto"/>
                <w:sz w:val="24"/>
                <w:highlight w:val="none"/>
              </w:rPr>
              <w:t>）给水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color w:val="auto"/>
                <w:sz w:val="24"/>
                <w:highlight w:val="none"/>
              </w:rPr>
            </w:pPr>
            <w:r>
              <w:rPr>
                <w:rFonts w:hint="eastAsia"/>
                <w:color w:val="auto"/>
                <w:sz w:val="24"/>
                <w:highlight w:val="none"/>
                <w:lang w:val="en-US" w:eastAsia="zh-CN"/>
              </w:rPr>
              <w:t>本项目用水主要为生活用水和生产用水，</w:t>
            </w:r>
            <w:r>
              <w:rPr>
                <w:color w:val="auto"/>
                <w:sz w:val="24"/>
                <w:highlight w:val="none"/>
              </w:rPr>
              <w:t>本项目供水</w:t>
            </w:r>
            <w:r>
              <w:rPr>
                <w:rFonts w:hint="eastAsia"/>
                <w:color w:val="auto"/>
                <w:sz w:val="24"/>
                <w:highlight w:val="none"/>
                <w:lang w:eastAsia="zh-CN"/>
              </w:rPr>
              <w:t>由</w:t>
            </w:r>
            <w:r>
              <w:rPr>
                <w:rFonts w:hint="eastAsia"/>
                <w:color w:val="auto"/>
                <w:sz w:val="24"/>
                <w:highlight w:val="none"/>
                <w:lang w:val="en-US" w:eastAsia="zh-CN"/>
              </w:rPr>
              <w:t>场内水井供给</w:t>
            </w:r>
            <w:r>
              <w:rPr>
                <w:rFonts w:hint="eastAsia"/>
                <w:color w:val="auto"/>
                <w:sz w:val="24"/>
                <w:highlight w:val="none"/>
                <w:lang w:eastAsia="zh-CN"/>
              </w:rPr>
              <w:t>，</w:t>
            </w:r>
            <w:r>
              <w:rPr>
                <w:color w:val="auto"/>
                <w:sz w:val="24"/>
                <w:highlight w:val="none"/>
              </w:rPr>
              <w:t>本项目总用水量为</w:t>
            </w:r>
            <w:r>
              <w:rPr>
                <w:rFonts w:hint="eastAsia"/>
                <w:color w:val="auto"/>
                <w:sz w:val="24"/>
                <w:highlight w:val="none"/>
                <w:lang w:val="en-US" w:eastAsia="zh-CN"/>
              </w:rPr>
              <w:t xml:space="preserve"> 23.3 </w:t>
            </w:r>
            <w:r>
              <w:rPr>
                <w:rFonts w:hint="default" w:ascii="Times New Roman" w:hAnsi="Times New Roman" w:cs="Times New Roman"/>
                <w:color w:val="auto"/>
                <w:sz w:val="24"/>
                <w:highlight w:val="none"/>
              </w:rPr>
              <w:t>t</w:t>
            </w:r>
            <w:r>
              <w:rPr>
                <w:color w:val="auto"/>
                <w:sz w:val="24"/>
                <w:highlight w:val="none"/>
              </w:rPr>
              <w:t>/</w:t>
            </w:r>
            <w:r>
              <w:rPr>
                <w:rFonts w:hint="default" w:ascii="Times New Roman" w:hAnsi="Times New Roman" w:cs="Times New Roman"/>
                <w:color w:val="auto"/>
                <w:sz w:val="24"/>
                <w:highlight w:val="none"/>
              </w:rPr>
              <w:t>d</w:t>
            </w:r>
            <w:r>
              <w:rPr>
                <w:color w:val="auto"/>
                <w:sz w:val="24"/>
                <w:highlight w:val="none"/>
              </w:rPr>
              <w:t>（</w:t>
            </w:r>
            <w:r>
              <w:rPr>
                <w:rFonts w:hint="eastAsia" w:cs="Times New Roman"/>
                <w:color w:val="auto"/>
                <w:sz w:val="24"/>
                <w:highlight w:val="none"/>
                <w:lang w:val="en-US" w:eastAsia="zh-CN"/>
              </w:rPr>
              <w:t xml:space="preserve"> 2330 </w:t>
            </w:r>
            <w:r>
              <w:rPr>
                <w:rFonts w:hint="default" w:ascii="Times New Roman" w:hAnsi="Times New Roman" w:cs="Times New Roman"/>
                <w:color w:val="auto"/>
                <w:sz w:val="24"/>
                <w:highlight w:val="none"/>
              </w:rPr>
              <w:t>t</w:t>
            </w:r>
            <w:r>
              <w:rPr>
                <w:color w:val="auto"/>
                <w:sz w:val="24"/>
                <w:highlight w:val="none"/>
              </w:rPr>
              <w:t>/</w:t>
            </w:r>
            <w:r>
              <w:rPr>
                <w:rFonts w:hint="default" w:ascii="Times New Roman" w:hAnsi="Times New Roman" w:cs="Times New Roman"/>
                <w:color w:val="auto"/>
                <w:sz w:val="24"/>
                <w:highlight w:val="none"/>
              </w:rPr>
              <w:t>a</w:t>
            </w:r>
            <w:r>
              <w:rPr>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color w:val="auto"/>
                <w:sz w:val="24"/>
                <w:highlight w:val="none"/>
              </w:rPr>
            </w:pPr>
            <w:r>
              <w:rPr>
                <w:rFonts w:hint="default" w:ascii="Times New Roman" w:hAnsi="Times New Roman" w:cs="Times New Roman"/>
                <w:color w:val="auto"/>
                <w:sz w:val="24"/>
                <w:highlight w:val="none"/>
                <w:lang w:val="en-US" w:eastAsia="zh-CN"/>
              </w:rPr>
              <w:t>1</w:t>
            </w:r>
            <w:r>
              <w:rPr>
                <w:rFonts w:hint="eastAsia"/>
                <w:color w:val="auto"/>
                <w:sz w:val="24"/>
                <w:highlight w:val="none"/>
                <w:lang w:val="en-US" w:eastAsia="zh-CN"/>
              </w:rPr>
              <w:t>）</w:t>
            </w:r>
            <w:r>
              <w:rPr>
                <w:color w:val="auto"/>
                <w:sz w:val="24"/>
                <w:highlight w:val="none"/>
              </w:rPr>
              <w:t>生活用水：生活用水参照黑龙江省地方标准《用水定额》（</w:t>
            </w:r>
            <w:r>
              <w:rPr>
                <w:rFonts w:hint="default" w:ascii="Times New Roman" w:hAnsi="Times New Roman" w:cs="Times New Roman"/>
                <w:color w:val="auto"/>
                <w:sz w:val="24"/>
                <w:highlight w:val="none"/>
              </w:rPr>
              <w:t>DB23</w:t>
            </w:r>
            <w:r>
              <w:rPr>
                <w:color w:val="auto"/>
                <w:sz w:val="24"/>
                <w:highlight w:val="none"/>
              </w:rPr>
              <w:t>/</w:t>
            </w:r>
            <w:r>
              <w:rPr>
                <w:rFonts w:hint="default" w:ascii="Times New Roman" w:hAnsi="Times New Roman" w:cs="Times New Roman"/>
                <w:color w:val="auto"/>
                <w:sz w:val="24"/>
                <w:highlight w:val="none"/>
              </w:rPr>
              <w:t>T727</w:t>
            </w:r>
            <w:r>
              <w:rPr>
                <w:color w:val="auto"/>
                <w:sz w:val="24"/>
                <w:highlight w:val="none"/>
              </w:rPr>
              <w:t>-</w:t>
            </w:r>
            <w:r>
              <w:rPr>
                <w:rFonts w:hint="default" w:ascii="Times New Roman" w:hAnsi="Times New Roman" w:cs="Times New Roman"/>
                <w:color w:val="auto"/>
                <w:sz w:val="24"/>
                <w:highlight w:val="none"/>
              </w:rPr>
              <w:t>2021</w:t>
            </w:r>
            <w:r>
              <w:rPr>
                <w:color w:val="auto"/>
                <w:sz w:val="24"/>
                <w:highlight w:val="none"/>
              </w:rPr>
              <w:t>），项目职工用水量按</w:t>
            </w:r>
            <w:r>
              <w:rPr>
                <w:rFonts w:hint="default" w:ascii="Times New Roman" w:hAnsi="Times New Roman" w:cs="Times New Roman"/>
                <w:color w:val="auto"/>
                <w:sz w:val="24"/>
                <w:highlight w:val="none"/>
                <w:lang w:val="en-US" w:eastAsia="zh-CN"/>
              </w:rPr>
              <w:t>80</w:t>
            </w:r>
            <w:r>
              <w:rPr>
                <w:rFonts w:hint="default" w:ascii="Times New Roman" w:hAnsi="Times New Roman" w:cs="Times New Roman"/>
                <w:color w:val="auto"/>
                <w:sz w:val="24"/>
                <w:highlight w:val="none"/>
              </w:rPr>
              <w:t>L</w:t>
            </w:r>
            <w:r>
              <w:rPr>
                <w:color w:val="auto"/>
                <w:sz w:val="24"/>
                <w:highlight w:val="none"/>
              </w:rPr>
              <w:t>/人·</w:t>
            </w:r>
            <w:r>
              <w:rPr>
                <w:rFonts w:hint="default" w:ascii="Times New Roman" w:hAnsi="Times New Roman" w:cs="Times New Roman"/>
                <w:color w:val="auto"/>
                <w:sz w:val="24"/>
                <w:highlight w:val="none"/>
              </w:rPr>
              <w:t>d</w:t>
            </w:r>
            <w:r>
              <w:rPr>
                <w:color w:val="auto"/>
                <w:sz w:val="24"/>
                <w:highlight w:val="none"/>
              </w:rPr>
              <w:t>计，</w:t>
            </w:r>
            <w:r>
              <w:rPr>
                <w:rFonts w:hint="eastAsia"/>
                <w:color w:val="auto"/>
                <w:sz w:val="24"/>
                <w:highlight w:val="none"/>
                <w:lang w:eastAsia="zh-CN"/>
              </w:rPr>
              <w:t>项目共有员工</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0</w:t>
            </w:r>
            <w:r>
              <w:rPr>
                <w:color w:val="auto"/>
                <w:sz w:val="24"/>
                <w:highlight w:val="none"/>
              </w:rPr>
              <w:t>人，则总的生活用水量约为</w:t>
            </w:r>
            <w:r>
              <w:rPr>
                <w:rFonts w:hint="eastAsia" w:cs="Times New Roman"/>
                <w:color w:val="auto"/>
                <w:sz w:val="24"/>
                <w:highlight w:val="none"/>
                <w:lang w:val="en-US" w:eastAsia="zh-CN"/>
              </w:rPr>
              <w:t>0.8</w:t>
            </w:r>
            <w:r>
              <w:rPr>
                <w:rFonts w:hint="default" w:ascii="Times New Roman" w:hAnsi="Times New Roman" w:cs="Times New Roman"/>
                <w:color w:val="auto"/>
                <w:sz w:val="24"/>
                <w:highlight w:val="none"/>
              </w:rPr>
              <w:t>t</w:t>
            </w:r>
            <w:r>
              <w:rPr>
                <w:color w:val="auto"/>
                <w:sz w:val="24"/>
                <w:highlight w:val="none"/>
              </w:rPr>
              <w:t>/</w:t>
            </w:r>
            <w:r>
              <w:rPr>
                <w:rFonts w:hint="default" w:ascii="Times New Roman" w:hAnsi="Times New Roman" w:cs="Times New Roman"/>
                <w:color w:val="auto"/>
                <w:sz w:val="24"/>
                <w:highlight w:val="none"/>
              </w:rPr>
              <w:t>d</w:t>
            </w:r>
            <w:r>
              <w:rPr>
                <w:color w:val="auto"/>
                <w:sz w:val="24"/>
                <w:highlight w:val="none"/>
              </w:rPr>
              <w:t>（</w:t>
            </w:r>
            <w:r>
              <w:rPr>
                <w:rFonts w:hint="eastAsia" w:cs="Times New Roman"/>
                <w:color w:val="auto"/>
                <w:sz w:val="24"/>
                <w:highlight w:val="none"/>
                <w:lang w:val="en-US" w:eastAsia="zh-CN"/>
              </w:rPr>
              <w:t>80</w:t>
            </w:r>
            <w:r>
              <w:rPr>
                <w:rFonts w:hint="default" w:ascii="Times New Roman" w:hAnsi="Times New Roman" w:cs="Times New Roman"/>
                <w:color w:val="auto"/>
                <w:sz w:val="24"/>
                <w:highlight w:val="none"/>
              </w:rPr>
              <w:t>t</w:t>
            </w:r>
            <w:r>
              <w:rPr>
                <w:color w:val="auto"/>
                <w:sz w:val="24"/>
                <w:highlight w:val="none"/>
              </w:rPr>
              <w:t>/</w:t>
            </w:r>
            <w:r>
              <w:rPr>
                <w:rFonts w:hint="default" w:ascii="Times New Roman" w:hAnsi="Times New Roman" w:cs="Times New Roman"/>
                <w:color w:val="auto"/>
                <w:sz w:val="24"/>
                <w:highlight w:val="none"/>
              </w:rPr>
              <w:t>a</w:t>
            </w:r>
            <w:r>
              <w:rPr>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color w:val="auto"/>
                <w:sz w:val="24"/>
                <w:highlight w:val="none"/>
                <w:lang w:val="en-US" w:eastAsia="zh-CN"/>
              </w:rPr>
            </w:pPr>
            <w:r>
              <w:rPr>
                <w:rFonts w:hint="default" w:ascii="Times New Roman" w:hAnsi="Times New Roman" w:cs="Times New Roman"/>
                <w:color w:val="auto"/>
                <w:sz w:val="24"/>
                <w:highlight w:val="none"/>
                <w:lang w:val="en-US" w:eastAsia="zh-CN"/>
              </w:rPr>
              <w:t>2</w:t>
            </w:r>
            <w:r>
              <w:rPr>
                <w:rFonts w:hint="eastAsia"/>
                <w:color w:val="auto"/>
                <w:sz w:val="24"/>
                <w:highlight w:val="none"/>
                <w:lang w:val="en-US" w:eastAsia="zh-CN"/>
              </w:rPr>
              <w:t>）生产用水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color w:val="auto"/>
                <w:sz w:val="24"/>
                <w:highlight w:val="none"/>
                <w:lang w:val="en-US" w:eastAsia="zh-CN"/>
              </w:rPr>
            </w:pPr>
            <w:r>
              <w:rPr>
                <w:rFonts w:hint="eastAsia"/>
                <w:color w:val="auto"/>
                <w:sz w:val="24"/>
                <w:highlight w:val="none"/>
                <w:lang w:val="en-US" w:eastAsia="zh-CN"/>
              </w:rPr>
              <w:t xml:space="preserve">本项目生产用水主要包括搅拌用水、搅拌机冲洗用水、运输车冲洗用水、 降尘用水及作业带清洗用水等。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①原料混合搅拌用水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原料混合搅拌需要用水，本项目年生产</w:t>
            </w:r>
            <w:r>
              <w:rPr>
                <w:rFonts w:hint="eastAsia" w:cs="Times New Roman"/>
                <w:color w:val="auto"/>
                <w:sz w:val="24"/>
                <w:highlight w:val="none"/>
                <w:lang w:val="en-US" w:eastAsia="zh-CN"/>
              </w:rPr>
              <w:t>1.5</w:t>
            </w:r>
            <w:r>
              <w:rPr>
                <w:rFonts w:hint="eastAsia" w:ascii="Times New Roman" w:hAnsi="Times New Roman" w:eastAsia="宋体" w:cs="Times New Roman"/>
                <w:color w:val="auto"/>
                <w:sz w:val="24"/>
                <w:highlight w:val="none"/>
                <w:lang w:val="en-US" w:eastAsia="zh-CN"/>
              </w:rPr>
              <w:t>万</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商品混凝土，根据</w:t>
            </w:r>
            <w:r>
              <w:rPr>
                <w:rFonts w:hint="default" w:ascii="Times New Roman" w:hAnsi="Times New Roman" w:eastAsia="宋体" w:cs="Times New Roman"/>
                <w:color w:val="auto"/>
                <w:sz w:val="24"/>
                <w:highlight w:val="none"/>
                <w:lang w:val="en-US" w:eastAsia="zh-CN"/>
              </w:rPr>
              <w:t>《黑龙江省地方标准用水定额》（DB23/T727-2021）中</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表E.17非金属矿物制品业用水定额</w:t>
            </w:r>
            <w:r>
              <w:rPr>
                <w:rFonts w:hint="eastAsia" w:ascii="Times New Roman" w:hAnsi="Times New Roman" w:eastAsia="宋体" w:cs="Times New Roman"/>
                <w:color w:val="auto"/>
                <w:sz w:val="24"/>
                <w:highlight w:val="none"/>
                <w:lang w:val="en-US" w:eastAsia="zh-CN"/>
              </w:rPr>
              <w:t>”，工程混凝土生产线的用水通用值按</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15m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（产品）计，本项目搅拌用水量为</w:t>
            </w:r>
            <w:r>
              <w:rPr>
                <w:rFonts w:hint="default" w:ascii="Times New Roman" w:hAnsi="Times New Roman" w:cs="Times New Roman"/>
                <w:color w:val="auto"/>
                <w:sz w:val="24"/>
                <w:highlight w:val="none"/>
                <w:lang w:val="en-US" w:eastAsia="zh-CN"/>
              </w:rPr>
              <w:t>2</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5t/d</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2250</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eastAsia" w:ascii="宋体" w:hAnsi="宋体" w:eastAsia="宋体" w:cs="宋体"/>
                <w:color w:val="auto"/>
                <w:kern w:val="0"/>
                <w:sz w:val="24"/>
                <w:szCs w:val="24"/>
                <w:lang w:val="en-US" w:eastAsia="zh-CN" w:bidi="ar"/>
              </w:rPr>
              <w:t xml:space="preserve">②搅拌机冲洗用水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eastAsia" w:ascii="宋体" w:hAnsi="宋体" w:eastAsia="宋体" w:cs="宋体"/>
                <w:color w:val="auto"/>
                <w:kern w:val="0"/>
                <w:sz w:val="24"/>
                <w:szCs w:val="24"/>
                <w:lang w:val="en-US" w:eastAsia="zh-CN" w:bidi="ar"/>
              </w:rPr>
              <w:t xml:space="preserve">搅拌机为本项目主要生产设备。搅拌机在暂时停止生产时必须冲洗干净，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rPr>
            </w:pPr>
            <w:r>
              <w:rPr>
                <w:rFonts w:hint="eastAsia" w:ascii="宋体" w:hAnsi="宋体" w:eastAsia="宋体" w:cs="宋体"/>
                <w:color w:val="auto"/>
                <w:kern w:val="0"/>
                <w:sz w:val="24"/>
                <w:szCs w:val="24"/>
                <w:lang w:val="en-US" w:eastAsia="zh-CN" w:bidi="ar"/>
              </w:rPr>
              <w:t xml:space="preserve">防止搅拌机中残留混凝土凝固。按搅拌机平均每天冲洗水一次，每次冲洗用水 </w:t>
            </w:r>
            <w:r>
              <w:rPr>
                <w:rFonts w:hint="default" w:ascii="Times New Roman" w:hAnsi="Times New Roman" w:eastAsia="宋体" w:cs="Times New Roman"/>
                <w:color w:val="auto"/>
                <w:kern w:val="0"/>
                <w:sz w:val="24"/>
                <w:szCs w:val="24"/>
                <w:lang w:val="en-US" w:eastAsia="zh-CN" w:bidi="ar"/>
              </w:rPr>
              <w:t>2.0t/</w:t>
            </w:r>
            <w:r>
              <w:rPr>
                <w:rFonts w:hint="eastAsia" w:ascii="宋体" w:hAnsi="宋体" w:eastAsia="宋体" w:cs="宋体"/>
                <w:color w:val="auto"/>
                <w:kern w:val="0"/>
                <w:sz w:val="24"/>
                <w:szCs w:val="24"/>
                <w:lang w:val="en-US" w:eastAsia="zh-CN" w:bidi="ar"/>
              </w:rPr>
              <w:t>次计，则年用水</w:t>
            </w:r>
            <w:r>
              <w:rPr>
                <w:rFonts w:hint="eastAsia" w:cs="Times New Roman"/>
                <w:color w:val="auto"/>
                <w:kern w:val="0"/>
                <w:sz w:val="24"/>
                <w:szCs w:val="24"/>
                <w:lang w:val="en-US" w:eastAsia="zh-CN" w:bidi="ar"/>
              </w:rPr>
              <w:t>200</w:t>
            </w:r>
            <w:r>
              <w:rPr>
                <w:rFonts w:hint="default" w:ascii="Times New Roman" w:hAnsi="Times New Roman" w:eastAsia="宋体" w:cs="Times New Roman"/>
                <w:color w:val="auto"/>
                <w:kern w:val="0"/>
                <w:sz w:val="24"/>
                <w:szCs w:val="24"/>
                <w:lang w:val="en-US" w:eastAsia="zh-CN" w:bidi="ar"/>
              </w:rPr>
              <w:t>t/a</w:t>
            </w:r>
            <w:r>
              <w:rPr>
                <w:rFonts w:hint="eastAsia" w:ascii="宋体" w:hAnsi="宋体" w:eastAsia="宋体" w:cs="宋体"/>
                <w:color w:val="auto"/>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③运输车辆冲洗用水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Fonts w:hint="default" w:ascii="Times New Roman" w:hAnsi="Times New Roman" w:eastAsia="宋体" w:cs="Times New Roman"/>
                <w:color w:val="auto"/>
                <w:kern w:val="0"/>
                <w:sz w:val="24"/>
                <w:szCs w:val="24"/>
                <w:lang w:val="en-US" w:eastAsia="zh-CN" w:bidi="ar"/>
              </w:rPr>
              <w:t>本项目商品混凝土生产规模</w:t>
            </w:r>
            <w:r>
              <w:rPr>
                <w:rFonts w:hint="default" w:ascii="Times New Roman" w:hAnsi="Times New Roman" w:cs="Times New Roman"/>
                <w:color w:val="auto"/>
                <w:kern w:val="0"/>
                <w:sz w:val="24"/>
                <w:szCs w:val="24"/>
                <w:lang w:val="en-US" w:eastAsia="zh-CN" w:bidi="ar"/>
              </w:rPr>
              <w:t>1</w:t>
            </w:r>
            <w:r>
              <w:rPr>
                <w:rFonts w:hint="eastAsia" w:cs="Times New Roman"/>
                <w:color w:val="auto"/>
                <w:kern w:val="0"/>
                <w:sz w:val="24"/>
                <w:szCs w:val="24"/>
                <w:lang w:val="en-US" w:eastAsia="zh-CN" w:bidi="ar"/>
              </w:rPr>
              <w:t>5</w:t>
            </w:r>
            <w:r>
              <w:rPr>
                <w:rFonts w:hint="default" w:ascii="Times New Roman" w:hAnsi="Times New Roman"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/d，其混凝土运输量按单车1次运输量最大为10m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计算，每天约需运输</w:t>
            </w:r>
            <w:r>
              <w:rPr>
                <w:rFonts w:hint="default" w:ascii="Times New Roman" w:hAnsi="Times New Roman" w:cs="Times New Roman"/>
                <w:color w:val="auto"/>
                <w:kern w:val="0"/>
                <w:sz w:val="24"/>
                <w:szCs w:val="24"/>
                <w:lang w:val="en-US" w:eastAsia="zh-CN" w:bidi="ar"/>
              </w:rPr>
              <w:t>1</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次，每次均需对运输车辆进行冲洗，车辆冲洗水量大致为0.</w:t>
            </w:r>
            <w:r>
              <w:rPr>
                <w:rFonts w:hint="default" w:ascii="Times New Roman" w:hAnsi="Times New Roman"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t/辆·次，因此冲洗用水约</w:t>
            </w:r>
            <w:r>
              <w:rPr>
                <w:rFonts w:hint="default" w:ascii="Times New Roman" w:hAnsi="Times New Roman" w:cs="Times New Roman"/>
                <w:color w:val="auto"/>
                <w:kern w:val="0"/>
                <w:sz w:val="24"/>
                <w:szCs w:val="24"/>
                <w:lang w:val="en-US" w:eastAsia="zh-CN" w:bidi="ar"/>
              </w:rPr>
              <w:t>3</w:t>
            </w:r>
            <w:r>
              <w:rPr>
                <w:rFonts w:hint="eastAsia"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t/d、</w:t>
            </w:r>
            <w:r>
              <w:rPr>
                <w:rFonts w:hint="eastAsia" w:cs="Times New Roman"/>
                <w:color w:val="auto"/>
                <w:kern w:val="0"/>
                <w:sz w:val="24"/>
                <w:szCs w:val="24"/>
                <w:lang w:val="en-US" w:eastAsia="zh-CN" w:bidi="ar"/>
              </w:rPr>
              <w:t>300</w:t>
            </w:r>
            <w:r>
              <w:rPr>
                <w:rFonts w:hint="default" w:ascii="Times New Roman" w:hAnsi="Times New Roman" w:eastAsia="宋体" w:cs="Times New Roman"/>
                <w:color w:val="auto"/>
                <w:kern w:val="0"/>
                <w:sz w:val="24"/>
                <w:szCs w:val="24"/>
                <w:lang w:val="en-US" w:eastAsia="zh-CN" w:bidi="ar"/>
              </w:rPr>
              <w:t>t/a。本项目仅为自配的商砼搅拌车进行冲洗。原料（水泥、粉煤灰以及砂石料等）运输车辆均不在厂区洗车场清洗。</w:t>
            </w:r>
            <w:r>
              <w:rPr>
                <w:rFonts w:hint="eastAsia" w:ascii="宋体" w:hAnsi="宋体" w:eastAsia="宋体" w:cs="宋体"/>
                <w:color w:val="auto"/>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 xml:space="preserve">④降尘用水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砂石料上料口喷淋水、砂石堆场、运输道路降尘用水，类比其他同类型项目，项目喷洒抑尘用水约为5m³/d，1000m³/a。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⑤作业带</w:t>
            </w:r>
            <w:r>
              <w:rPr>
                <w:rFonts w:hint="eastAsia" w:cs="Times New Roman"/>
                <w:color w:val="auto"/>
                <w:kern w:val="0"/>
                <w:sz w:val="24"/>
                <w:szCs w:val="24"/>
                <w:lang w:val="en-US" w:eastAsia="zh-CN" w:bidi="ar"/>
              </w:rPr>
              <w:t>冲</w:t>
            </w:r>
            <w:r>
              <w:rPr>
                <w:rFonts w:hint="eastAsia" w:ascii="Times New Roman" w:hAnsi="Times New Roman" w:eastAsia="宋体" w:cs="Times New Roman"/>
                <w:color w:val="auto"/>
                <w:kern w:val="0"/>
                <w:sz w:val="24"/>
                <w:szCs w:val="24"/>
                <w:lang w:val="en-US" w:eastAsia="zh-CN" w:bidi="ar"/>
              </w:rPr>
              <w:t xml:space="preserve">洗用水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项目定期对作业装卸区进行冲洗，每</w:t>
            </w:r>
            <w:r>
              <w:rPr>
                <w:rFonts w:hint="default" w:ascii="Times New Roman" w:hAnsi="Times New Roman" w:eastAsia="宋体" w:cs="Times New Roman"/>
                <w:color w:val="auto"/>
                <w:kern w:val="0"/>
                <w:sz w:val="24"/>
                <w:szCs w:val="24"/>
                <w:lang w:val="en-US" w:eastAsia="zh-CN" w:bidi="ar"/>
              </w:rPr>
              <w:t>5</w:t>
            </w:r>
            <w:r>
              <w:rPr>
                <w:rFonts w:hint="eastAsia" w:ascii="Times New Roman" w:hAnsi="Times New Roman" w:eastAsia="宋体" w:cs="Times New Roman"/>
                <w:color w:val="auto"/>
                <w:kern w:val="0"/>
                <w:sz w:val="24"/>
                <w:szCs w:val="24"/>
                <w:lang w:val="en-US" w:eastAsia="zh-CN" w:bidi="ar"/>
              </w:rPr>
              <w:t>天冲洗</w:t>
            </w:r>
            <w:r>
              <w:rPr>
                <w:rFonts w:hint="default" w:ascii="Times New Roman" w:hAnsi="Times New Roman" w:eastAsia="宋体" w:cs="Times New Roman"/>
                <w:color w:val="auto"/>
                <w:kern w:val="0"/>
                <w:sz w:val="24"/>
                <w:szCs w:val="24"/>
                <w:lang w:val="en-US" w:eastAsia="zh-CN" w:bidi="ar"/>
              </w:rPr>
              <w:t>1</w:t>
            </w:r>
            <w:r>
              <w:rPr>
                <w:rFonts w:hint="eastAsia" w:ascii="Times New Roman" w:hAnsi="Times New Roman" w:eastAsia="宋体" w:cs="Times New Roman"/>
                <w:color w:val="auto"/>
                <w:kern w:val="0"/>
                <w:sz w:val="24"/>
                <w:szCs w:val="24"/>
                <w:lang w:val="en-US" w:eastAsia="zh-CN" w:bidi="ar"/>
              </w:rPr>
              <w:t>次，冲洗用水约</w:t>
            </w:r>
            <w:r>
              <w:rPr>
                <w:rFonts w:hint="default" w:ascii="Times New Roman" w:hAnsi="Times New Roman" w:eastAsia="宋体" w:cs="Times New Roman"/>
                <w:color w:val="auto"/>
                <w:kern w:val="0"/>
                <w:sz w:val="24"/>
                <w:szCs w:val="24"/>
                <w:lang w:val="en-US" w:eastAsia="zh-CN" w:bidi="ar"/>
              </w:rPr>
              <w:t>0.5m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次，每年用水量</w:t>
            </w:r>
            <w:r>
              <w:rPr>
                <w:rFonts w:hint="eastAsia" w:cs="Times New Roman"/>
                <w:color w:val="auto"/>
                <w:kern w:val="0"/>
                <w:sz w:val="24"/>
                <w:szCs w:val="24"/>
                <w:lang w:val="en-US" w:eastAsia="zh-CN" w:bidi="ar"/>
              </w:rPr>
              <w:t>10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 xml:space="preserve">3 </w:t>
            </w:r>
            <w:r>
              <w:rPr>
                <w:rFonts w:hint="default" w:ascii="Times New Roman" w:hAnsi="Times New Roman" w:eastAsia="宋体" w:cs="Times New Roman"/>
                <w:color w:val="auto"/>
                <w:kern w:val="0"/>
                <w:sz w:val="24"/>
                <w:szCs w:val="24"/>
                <w:lang w:val="en-US" w:eastAsia="zh-CN" w:bidi="ar"/>
              </w:rPr>
              <w:t>/a</w:t>
            </w:r>
            <w:r>
              <w:rPr>
                <w:rFonts w:hint="eastAsia" w:ascii="Times New Roman" w:hAnsi="Times New Roman" w:eastAsia="宋体" w:cs="Times New Roman"/>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highlight w:val="none"/>
              </w:rPr>
            </w:pPr>
            <w:r>
              <w:rPr>
                <w:rFonts w:hAnsi="宋体"/>
                <w:color w:val="auto"/>
                <w:sz w:val="24"/>
                <w:highlight w:val="none"/>
              </w:rPr>
              <w:t>（</w:t>
            </w:r>
            <w:r>
              <w:rPr>
                <w:rFonts w:hint="default" w:ascii="Times New Roman" w:hAnsi="Times New Roman" w:cs="Times New Roman"/>
                <w:color w:val="auto"/>
                <w:sz w:val="24"/>
                <w:highlight w:val="none"/>
              </w:rPr>
              <w:t>2</w:t>
            </w:r>
            <w:r>
              <w:rPr>
                <w:rFonts w:hAnsi="宋体"/>
                <w:color w:val="auto"/>
                <w:sz w:val="24"/>
                <w:highlight w:val="none"/>
              </w:rPr>
              <w:t>）排水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hAnsi="宋体" w:eastAsia="宋体"/>
                <w:color w:val="auto"/>
                <w:sz w:val="24"/>
                <w:highlight w:val="none"/>
                <w:lang w:val="en-US" w:eastAsia="zh-CN"/>
              </w:rPr>
            </w:pPr>
            <w:r>
              <w:rPr>
                <w:rFonts w:hint="eastAsia" w:ascii="宋体" w:hAnsi="宋体" w:eastAsia="宋体" w:cs="宋体"/>
                <w:color w:val="auto"/>
                <w:kern w:val="0"/>
                <w:sz w:val="24"/>
                <w:szCs w:val="24"/>
                <w:lang w:val="en-US" w:eastAsia="zh-CN" w:bidi="ar"/>
              </w:rPr>
              <w:t>①</w:t>
            </w:r>
            <w:r>
              <w:rPr>
                <w:rFonts w:hint="eastAsia" w:hAnsi="宋体"/>
                <w:color w:val="auto"/>
                <w:sz w:val="24"/>
                <w:highlight w:val="none"/>
                <w:lang w:val="en-US" w:eastAsia="zh-CN"/>
              </w:rPr>
              <w:t>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Ansi="宋体"/>
                <w:color w:val="auto"/>
                <w:sz w:val="24"/>
                <w:highlight w:val="none"/>
              </w:rPr>
            </w:pPr>
            <w:r>
              <w:rPr>
                <w:rFonts w:hAnsi="宋体"/>
                <w:color w:val="auto"/>
                <w:sz w:val="24"/>
                <w:highlight w:val="none"/>
              </w:rPr>
              <w:t>本项目生活用水排放量按用水量的</w:t>
            </w:r>
            <w:r>
              <w:rPr>
                <w:rFonts w:hint="default" w:ascii="Times New Roman" w:hAnsi="Times New Roman" w:cs="Times New Roman"/>
                <w:color w:val="auto"/>
                <w:sz w:val="24"/>
                <w:highlight w:val="none"/>
              </w:rPr>
              <w:t>80</w:t>
            </w:r>
            <w:r>
              <w:rPr>
                <w:color w:val="auto"/>
                <w:sz w:val="24"/>
                <w:highlight w:val="none"/>
              </w:rPr>
              <w:t>%</w:t>
            </w:r>
            <w:r>
              <w:rPr>
                <w:rFonts w:hAnsi="宋体"/>
                <w:color w:val="auto"/>
                <w:sz w:val="24"/>
                <w:highlight w:val="none"/>
              </w:rPr>
              <w:t>计，为</w:t>
            </w:r>
            <w:r>
              <w:rPr>
                <w:rFonts w:hint="eastAsia" w:cs="Times New Roman"/>
                <w:color w:val="auto"/>
                <w:sz w:val="24"/>
                <w:highlight w:val="none"/>
                <w:lang w:val="en-US" w:eastAsia="zh-CN"/>
              </w:rPr>
              <w:t>0.64</w:t>
            </w:r>
            <w:r>
              <w:rPr>
                <w:rFonts w:hint="default" w:ascii="Times New Roman" w:hAnsi="Times New Roman" w:cs="Times New Roman"/>
                <w:color w:val="auto"/>
                <w:sz w:val="24"/>
                <w:highlight w:val="none"/>
              </w:rPr>
              <w:t>t</w:t>
            </w:r>
            <w:r>
              <w:rPr>
                <w:color w:val="auto"/>
                <w:sz w:val="24"/>
                <w:highlight w:val="none"/>
              </w:rPr>
              <w:t>/</w:t>
            </w:r>
            <w:r>
              <w:rPr>
                <w:rFonts w:hint="default" w:ascii="Times New Roman" w:hAnsi="Times New Roman" w:cs="Times New Roman"/>
                <w:color w:val="auto"/>
                <w:sz w:val="24"/>
                <w:highlight w:val="none"/>
              </w:rPr>
              <w:t>d</w:t>
            </w:r>
            <w:r>
              <w:rPr>
                <w:rFonts w:hAnsi="宋体"/>
                <w:color w:val="auto"/>
                <w:sz w:val="24"/>
                <w:highlight w:val="none"/>
              </w:rPr>
              <w:t>，</w:t>
            </w:r>
            <w:r>
              <w:rPr>
                <w:rFonts w:hint="eastAsia" w:cs="Times New Roman"/>
                <w:color w:val="auto"/>
                <w:sz w:val="24"/>
                <w:highlight w:val="none"/>
                <w:lang w:val="en-US" w:eastAsia="zh-CN"/>
              </w:rPr>
              <w:t>64</w:t>
            </w:r>
            <w:r>
              <w:rPr>
                <w:rFonts w:hint="default" w:ascii="Times New Roman" w:hAnsi="Times New Roman" w:cs="Times New Roman"/>
                <w:color w:val="auto"/>
                <w:sz w:val="24"/>
                <w:highlight w:val="none"/>
              </w:rPr>
              <w:t>t</w:t>
            </w:r>
            <w:r>
              <w:rPr>
                <w:color w:val="auto"/>
                <w:sz w:val="24"/>
                <w:highlight w:val="none"/>
              </w:rPr>
              <w:t>/</w:t>
            </w:r>
            <w:r>
              <w:rPr>
                <w:rFonts w:hint="default" w:ascii="Times New Roman" w:hAnsi="Times New Roman" w:cs="Times New Roman"/>
                <w:color w:val="auto"/>
                <w:sz w:val="24"/>
                <w:highlight w:val="none"/>
              </w:rPr>
              <w:t>a</w:t>
            </w:r>
            <w:r>
              <w:rPr>
                <w:rFonts w:hint="eastAsia"/>
                <w:color w:val="auto"/>
                <w:sz w:val="24"/>
                <w:highlight w:val="none"/>
              </w:rPr>
              <w:t>，</w:t>
            </w:r>
            <w:r>
              <w:rPr>
                <w:rFonts w:hAnsi="宋体"/>
                <w:color w:val="auto"/>
                <w:sz w:val="24"/>
                <w:highlight w:val="none"/>
              </w:rPr>
              <w:t>生活污水排入防渗旱厕，定期清掏</w:t>
            </w:r>
            <w:r>
              <w:rPr>
                <w:rFonts w:hint="eastAsia" w:hAnsi="宋体"/>
                <w:color w:val="auto"/>
                <w:sz w:val="24"/>
                <w:highlight w:val="none"/>
              </w:rPr>
              <w:t>外运堆肥处理</w:t>
            </w:r>
            <w:r>
              <w:rPr>
                <w:rFonts w:hAnsi="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宋体" w:eastAsia="宋体" w:cs="Times New Roman"/>
                <w:color w:val="auto"/>
                <w:sz w:val="24"/>
                <w:highlight w:val="none"/>
                <w:lang w:val="en-US" w:eastAsia="zh-CN"/>
              </w:rPr>
            </w:pPr>
            <w:r>
              <w:rPr>
                <w:rFonts w:hint="eastAsia" w:ascii="宋体" w:hAnsi="宋体" w:eastAsia="宋体" w:cs="宋体"/>
                <w:color w:val="auto"/>
                <w:kern w:val="0"/>
                <w:sz w:val="24"/>
                <w:szCs w:val="24"/>
                <w:lang w:val="en-US" w:eastAsia="zh-CN" w:bidi="ar"/>
              </w:rPr>
              <w:t>②</w:t>
            </w:r>
            <w:r>
              <w:rPr>
                <w:rFonts w:hint="eastAsia" w:ascii="Times New Roman" w:hAnsi="宋体" w:eastAsia="宋体" w:cs="Times New Roman"/>
                <w:color w:val="auto"/>
                <w:sz w:val="24"/>
                <w:highlight w:val="none"/>
                <w:lang w:val="en-US" w:eastAsia="zh-CN"/>
              </w:rPr>
              <w:t>生产废水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 xml:space="preserve">本项目砂石堆场、运输道路降尘用水自然蒸发；商品混凝土生产过程原料混合搅拌用水全部进入产品；故本项目生产废水主要为搅拌机冲洗废水和运输车辆冲洗废水。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搅拌机冲洗废水产生量按用水量的</w:t>
            </w:r>
            <w:r>
              <w:rPr>
                <w:rFonts w:hint="default" w:ascii="Times New Roman" w:hAnsi="Times New Roman" w:eastAsia="宋体" w:cs="Times New Roman"/>
                <w:color w:val="auto"/>
                <w:sz w:val="24"/>
                <w:highlight w:val="none"/>
                <w:lang w:val="en-US" w:eastAsia="zh-CN"/>
              </w:rPr>
              <w:t>90</w:t>
            </w:r>
            <w:r>
              <w:rPr>
                <w:rFonts w:hint="default" w:ascii="Times New Roman" w:hAnsi="宋体" w:eastAsia="宋体" w:cs="Times New Roman"/>
                <w:color w:val="auto"/>
                <w:sz w:val="24"/>
                <w:highlight w:val="none"/>
                <w:lang w:val="en-US" w:eastAsia="zh-CN"/>
              </w:rPr>
              <w:t>%</w:t>
            </w:r>
            <w:r>
              <w:rPr>
                <w:rFonts w:hint="eastAsia" w:ascii="Times New Roman" w:hAnsi="宋体" w:eastAsia="宋体" w:cs="Times New Roman"/>
                <w:color w:val="auto"/>
                <w:sz w:val="24"/>
                <w:highlight w:val="none"/>
                <w:lang w:val="en-US" w:eastAsia="zh-CN"/>
              </w:rPr>
              <w:t>计，则搅拌机冲洗废水量为</w:t>
            </w:r>
            <w:r>
              <w:rPr>
                <w:rFonts w:hint="default" w:ascii="Times New Roman" w:hAnsi="Times New Roman" w:eastAsia="宋体" w:cs="Times New Roman"/>
                <w:color w:val="auto"/>
                <w:sz w:val="24"/>
                <w:highlight w:val="none"/>
                <w:lang w:val="en-US" w:eastAsia="zh-CN"/>
              </w:rPr>
              <w:t>1</w:t>
            </w:r>
            <w:r>
              <w:rPr>
                <w:rFonts w:hint="default" w:ascii="Times New Roman" w:hAnsi="宋体"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8t</w:t>
            </w:r>
            <w:r>
              <w:rPr>
                <w:rFonts w:hint="default" w:ascii="Times New Roman" w:hAnsi="宋体"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d</w:t>
            </w:r>
            <w:r>
              <w:rPr>
                <w:rFonts w:hint="eastAsia" w:ascii="Times New Roman" w:hAnsi="宋体" w:eastAsia="宋体" w:cs="Times New Roman"/>
                <w:color w:val="auto"/>
                <w:sz w:val="24"/>
                <w:highlight w:val="none"/>
                <w:lang w:val="en-US" w:eastAsia="zh-CN"/>
              </w:rPr>
              <w:t>，</w:t>
            </w:r>
            <w:r>
              <w:rPr>
                <w:rFonts w:hint="eastAsia" w:cs="Times New Roman"/>
                <w:color w:val="auto"/>
                <w:sz w:val="24"/>
                <w:highlight w:val="none"/>
                <w:lang w:val="en-US" w:eastAsia="zh-CN"/>
              </w:rPr>
              <w:t>180</w:t>
            </w:r>
            <w:r>
              <w:rPr>
                <w:rFonts w:hint="default" w:ascii="Times New Roman" w:hAnsi="Times New Roman" w:eastAsia="宋体" w:cs="Times New Roman"/>
                <w:color w:val="auto"/>
                <w:sz w:val="24"/>
                <w:highlight w:val="none"/>
                <w:lang w:val="en-US" w:eastAsia="zh-CN"/>
              </w:rPr>
              <w:t>t</w:t>
            </w:r>
            <w:r>
              <w:rPr>
                <w:rFonts w:hint="default" w:ascii="Times New Roman" w:hAnsi="宋体"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a</w:t>
            </w:r>
            <w:r>
              <w:rPr>
                <w:rFonts w:hint="eastAsia" w:ascii="Times New Roman" w:hAnsi="宋体" w:eastAsia="宋体" w:cs="Times New Roman"/>
                <w:color w:val="auto"/>
                <w:sz w:val="24"/>
                <w:highlight w:val="none"/>
                <w:lang w:val="en-US" w:eastAsia="zh-CN"/>
              </w:rPr>
              <w:t>，运输车辆冲洗废水产生量按用水量的</w:t>
            </w:r>
            <w:r>
              <w:rPr>
                <w:rFonts w:hint="default" w:ascii="Times New Roman" w:hAnsi="Times New Roman" w:eastAsia="宋体" w:cs="Times New Roman"/>
                <w:color w:val="auto"/>
                <w:sz w:val="24"/>
                <w:highlight w:val="none"/>
                <w:lang w:val="en-US" w:eastAsia="zh-CN"/>
              </w:rPr>
              <w:t>90</w:t>
            </w:r>
            <w:r>
              <w:rPr>
                <w:rFonts w:hint="default" w:ascii="Times New Roman" w:hAnsi="宋体" w:eastAsia="宋体" w:cs="Times New Roman"/>
                <w:color w:val="auto"/>
                <w:sz w:val="24"/>
                <w:highlight w:val="none"/>
                <w:lang w:val="en-US" w:eastAsia="zh-CN"/>
              </w:rPr>
              <w:t>%</w:t>
            </w:r>
            <w:r>
              <w:rPr>
                <w:rFonts w:hint="eastAsia" w:ascii="Times New Roman" w:hAnsi="宋体" w:eastAsia="宋体" w:cs="Times New Roman"/>
                <w:color w:val="auto"/>
                <w:sz w:val="24"/>
                <w:highlight w:val="none"/>
                <w:lang w:val="en-US" w:eastAsia="zh-CN"/>
              </w:rPr>
              <w:t xml:space="preserve">计，则运输车辆冲洗废水量为 </w:t>
            </w:r>
            <w:r>
              <w:rPr>
                <w:rFonts w:hint="eastAsia" w:cs="Times New Roman"/>
                <w:color w:val="auto"/>
                <w:sz w:val="24"/>
                <w:highlight w:val="none"/>
                <w:lang w:val="en-US" w:eastAsia="zh-CN"/>
              </w:rPr>
              <w:t>2.7</w:t>
            </w:r>
            <w:r>
              <w:rPr>
                <w:rFonts w:hint="default" w:ascii="Times New Roman" w:hAnsi="Times New Roman" w:eastAsia="宋体" w:cs="Times New Roman"/>
                <w:color w:val="auto"/>
                <w:sz w:val="24"/>
                <w:highlight w:val="none"/>
                <w:lang w:val="en-US" w:eastAsia="zh-CN"/>
              </w:rPr>
              <w:t>t</w:t>
            </w:r>
            <w:r>
              <w:rPr>
                <w:rFonts w:hint="default" w:ascii="Times New Roman" w:hAnsi="宋体"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d</w:t>
            </w:r>
            <w:r>
              <w:rPr>
                <w:rFonts w:hint="eastAsia" w:ascii="Times New Roman" w:hAnsi="宋体" w:eastAsia="宋体" w:cs="Times New Roman"/>
                <w:color w:val="auto"/>
                <w:sz w:val="24"/>
                <w:highlight w:val="none"/>
                <w:lang w:val="en-US" w:eastAsia="zh-CN"/>
              </w:rPr>
              <w:t>，</w:t>
            </w:r>
            <w:r>
              <w:rPr>
                <w:rFonts w:hint="eastAsia" w:cs="Times New Roman"/>
                <w:color w:val="auto"/>
                <w:sz w:val="24"/>
                <w:highlight w:val="none"/>
                <w:lang w:val="en-US" w:eastAsia="zh-CN"/>
              </w:rPr>
              <w:t>270</w:t>
            </w:r>
            <w:r>
              <w:rPr>
                <w:rFonts w:hint="default" w:ascii="Times New Roman" w:hAnsi="Times New Roman" w:eastAsia="宋体" w:cs="Times New Roman"/>
                <w:color w:val="auto"/>
                <w:sz w:val="24"/>
                <w:highlight w:val="none"/>
                <w:lang w:val="en-US" w:eastAsia="zh-CN"/>
              </w:rPr>
              <w:t>t</w:t>
            </w:r>
            <w:r>
              <w:rPr>
                <w:rFonts w:hint="default" w:ascii="Times New Roman" w:hAnsi="宋体"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a</w:t>
            </w:r>
            <w:r>
              <w:rPr>
                <w:rFonts w:hint="eastAsia" w:ascii="Times New Roman" w:hAnsi="宋体" w:eastAsia="宋体" w:cs="Times New Roman"/>
                <w:color w:val="auto"/>
                <w:sz w:val="24"/>
                <w:highlight w:val="none"/>
                <w:lang w:val="en-US" w:eastAsia="zh-CN"/>
              </w:rPr>
              <w:t>。作业带清洗废水产生量按用水量的</w:t>
            </w:r>
            <w:r>
              <w:rPr>
                <w:rFonts w:hint="default" w:ascii="Times New Roman" w:hAnsi="Times New Roman" w:eastAsia="宋体" w:cs="Times New Roman"/>
                <w:color w:val="auto"/>
                <w:sz w:val="24"/>
                <w:highlight w:val="none"/>
                <w:lang w:val="en-US" w:eastAsia="zh-CN"/>
              </w:rPr>
              <w:t>90</w:t>
            </w:r>
            <w:r>
              <w:rPr>
                <w:rFonts w:hint="default" w:ascii="Times New Roman" w:hAnsi="宋体" w:eastAsia="宋体" w:cs="Times New Roman"/>
                <w:color w:val="auto"/>
                <w:sz w:val="24"/>
                <w:highlight w:val="none"/>
                <w:lang w:val="en-US" w:eastAsia="zh-CN"/>
              </w:rPr>
              <w:t>%</w:t>
            </w:r>
            <w:r>
              <w:rPr>
                <w:rFonts w:hint="eastAsia" w:ascii="Times New Roman" w:hAnsi="宋体" w:eastAsia="宋体" w:cs="Times New Roman"/>
                <w:color w:val="auto"/>
                <w:sz w:val="24"/>
                <w:highlight w:val="none"/>
                <w:lang w:val="en-US" w:eastAsia="zh-CN"/>
              </w:rPr>
              <w:t>计，则作业带清洗废水产生量约为</w:t>
            </w:r>
            <w:r>
              <w:rPr>
                <w:rFonts w:hint="eastAsia" w:cs="Times New Roman"/>
                <w:color w:val="auto"/>
                <w:sz w:val="24"/>
                <w:highlight w:val="none"/>
                <w:lang w:val="en-US" w:eastAsia="zh-CN"/>
              </w:rPr>
              <w:t xml:space="preserve"> 9</w:t>
            </w:r>
            <w:r>
              <w:rPr>
                <w:rFonts w:hint="default" w:ascii="Times New Roman" w:hAnsi="Times New Roman" w:eastAsia="宋体" w:cs="Times New Roman"/>
                <w:color w:val="auto"/>
                <w:sz w:val="24"/>
                <w:highlight w:val="none"/>
                <w:lang w:val="en-US" w:eastAsia="zh-CN"/>
              </w:rPr>
              <w:t>t</w:t>
            </w:r>
            <w:r>
              <w:rPr>
                <w:rFonts w:hint="default" w:ascii="Times New Roman" w:hAnsi="宋体"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a</w:t>
            </w:r>
            <w:r>
              <w:rPr>
                <w:rFonts w:hint="eastAsia" w:ascii="Times New Roman" w:hAnsi="宋体" w:eastAsia="宋体" w:cs="Times New Roman"/>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混凝土运输车辆料斗冲洗废水、搅拌机冲洗废水</w:t>
            </w:r>
            <w:r>
              <w:rPr>
                <w:rFonts w:hint="eastAsia" w:hAnsi="宋体" w:cs="Times New Roman"/>
                <w:color w:val="auto"/>
                <w:sz w:val="24"/>
                <w:highlight w:val="none"/>
                <w:lang w:val="en-US" w:eastAsia="zh-CN"/>
              </w:rPr>
              <w:t>及作业带冲</w:t>
            </w:r>
            <w:r>
              <w:rPr>
                <w:rFonts w:hint="eastAsia" w:ascii="Times New Roman" w:hAnsi="宋体" w:eastAsia="宋体" w:cs="Times New Roman"/>
                <w:color w:val="auto"/>
                <w:sz w:val="24"/>
                <w:highlight w:val="none"/>
                <w:lang w:val="en-US" w:eastAsia="zh-CN"/>
              </w:rPr>
              <w:t xml:space="preserve">洗废水一起进入沉淀池沉淀后回用于生产，不外排。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本项目进入沉淀池水量为</w:t>
            </w:r>
            <w:r>
              <w:rPr>
                <w:rFonts w:hint="default" w:ascii="Times New Roman" w:hAnsi="Times New Roman" w:cs="Times New Roman"/>
                <w:color w:val="auto"/>
                <w:sz w:val="24"/>
                <w:highlight w:val="none"/>
                <w:lang w:val="en-US" w:eastAsia="zh-CN"/>
              </w:rPr>
              <w:t>4</w:t>
            </w:r>
            <w:r>
              <w:rPr>
                <w:rFonts w:hint="eastAsia" w:hAnsi="宋体" w:cs="Times New Roman"/>
                <w:color w:val="auto"/>
                <w:sz w:val="24"/>
                <w:highlight w:val="none"/>
                <w:lang w:val="en-US" w:eastAsia="zh-CN"/>
              </w:rPr>
              <w:t>.</w:t>
            </w:r>
            <w:r>
              <w:rPr>
                <w:rFonts w:hint="eastAsia" w:cs="Times New Roman"/>
                <w:color w:val="auto"/>
                <w:sz w:val="24"/>
                <w:highlight w:val="none"/>
                <w:lang w:val="en-US" w:eastAsia="zh-CN"/>
              </w:rPr>
              <w:t>59</w:t>
            </w:r>
            <w:r>
              <w:rPr>
                <w:rFonts w:hint="default" w:ascii="Times New Roman" w:hAnsi="Times New Roman" w:eastAsia="宋体" w:cs="Times New Roman"/>
                <w:color w:val="auto"/>
                <w:sz w:val="24"/>
                <w:highlight w:val="none"/>
                <w:lang w:val="en-US" w:eastAsia="zh-CN"/>
              </w:rPr>
              <w:t>t</w:t>
            </w:r>
            <w:r>
              <w:rPr>
                <w:rFonts w:hint="default" w:ascii="Times New Roman" w:hAnsi="宋体"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d</w:t>
            </w:r>
            <w:r>
              <w:rPr>
                <w:rFonts w:hint="eastAsia" w:ascii="Times New Roman" w:hAnsi="宋体" w:eastAsia="宋体" w:cs="Times New Roman"/>
                <w:color w:val="auto"/>
                <w:sz w:val="24"/>
                <w:highlight w:val="none"/>
                <w:lang w:val="en-US" w:eastAsia="zh-CN"/>
              </w:rPr>
              <w:t>，</w:t>
            </w:r>
            <w:r>
              <w:rPr>
                <w:rFonts w:hint="eastAsia" w:cs="Times New Roman"/>
                <w:color w:val="auto"/>
                <w:sz w:val="24"/>
                <w:highlight w:val="none"/>
                <w:lang w:val="en-US" w:eastAsia="zh-CN"/>
              </w:rPr>
              <w:t>459</w:t>
            </w:r>
            <w:r>
              <w:rPr>
                <w:rFonts w:hint="default" w:ascii="Times New Roman" w:hAnsi="Times New Roman" w:eastAsia="宋体" w:cs="Times New Roman"/>
                <w:color w:val="auto"/>
                <w:sz w:val="24"/>
                <w:highlight w:val="none"/>
                <w:lang w:val="en-US" w:eastAsia="zh-CN"/>
              </w:rPr>
              <w:t>t</w:t>
            </w:r>
            <w:r>
              <w:rPr>
                <w:rFonts w:hint="default" w:ascii="Times New Roman" w:hAnsi="宋体"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a</w:t>
            </w:r>
            <w:r>
              <w:rPr>
                <w:rFonts w:hint="eastAsia" w:ascii="Times New Roman" w:hAnsi="宋体" w:eastAsia="宋体" w:cs="Times New Roman"/>
                <w:color w:val="auto"/>
                <w:sz w:val="24"/>
                <w:highlight w:val="none"/>
                <w:lang w:val="en-US" w:eastAsia="zh-CN"/>
              </w:rPr>
              <w:t>。沉淀池有效容积为</w:t>
            </w:r>
            <w:r>
              <w:rPr>
                <w:rFonts w:hint="default" w:ascii="Times New Roman" w:hAnsi="Times New Roman" w:cs="Times New Roman"/>
                <w:color w:val="auto"/>
                <w:sz w:val="24"/>
                <w:highlight w:val="none"/>
                <w:lang w:val="en-US" w:eastAsia="zh-CN"/>
              </w:rPr>
              <w:t>100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hAnsi="宋体" w:eastAsia="宋体" w:cs="Times New Roman"/>
                <w:color w:val="auto"/>
                <w:sz w:val="24"/>
                <w:highlight w:val="none"/>
                <w:lang w:val="en-US" w:eastAsia="zh-CN"/>
              </w:rPr>
              <w:t>。沉淀池处理能力可以满足每天排入的生产废水处理后回用的要求。项目进入停产期后，沉淀池内少量的废水用于砂石堆场和厂内道路的洒水降尘，不外排。</w:t>
            </w:r>
          </w:p>
          <w:p>
            <w:pPr>
              <w:numPr>
                <w:ilvl w:val="0"/>
                <w:numId w:val="0"/>
              </w:num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lang w:val="en-US" w:eastAsia="zh-CN" w:bidi="ar"/>
              </w:rPr>
              <w:t>③</w:t>
            </w:r>
            <w:r>
              <w:rPr>
                <w:rFonts w:hint="default" w:ascii="Times New Roman" w:hAnsi="Times New Roman" w:eastAsia="宋体" w:cs="Times New Roman"/>
                <w:color w:val="auto"/>
                <w:sz w:val="24"/>
                <w:szCs w:val="24"/>
                <w:highlight w:val="none"/>
                <w:lang w:eastAsia="zh-CN"/>
              </w:rPr>
              <w:t>初期雨水</w:t>
            </w:r>
          </w:p>
          <w:p>
            <w:pPr>
              <w:pStyle w:val="130"/>
              <w:keepNext w:val="0"/>
              <w:keepLines w:val="0"/>
              <w:pageBreakBefore w:val="0"/>
              <w:widowControl w:val="0"/>
              <w:kinsoku/>
              <w:wordWrap/>
              <w:overflowPunct/>
              <w:topLinePunct w:val="0"/>
              <w:autoSpaceDE/>
              <w:autoSpaceDN/>
              <w:bidi w:val="0"/>
              <w:snapToGrid/>
              <w:spacing w:beforeAutospacing="0" w:afterAutospacing="0" w:line="360" w:lineRule="auto"/>
              <w:ind w:left="0" w:leftChars="0" w:right="0" w:rightChars="0" w:firstLine="480" w:firstLineChars="200"/>
              <w:jc w:val="both"/>
              <w:rPr>
                <w:rFonts w:hint="default" w:ascii="Times New Roman" w:hAnsi="Times New Roman" w:eastAsia="宋体" w:cs="Times New Roman"/>
                <w:b w:val="0"/>
                <w:snapToGrid w:val="0"/>
                <w:color w:val="auto"/>
                <w:kern w:val="0"/>
                <w:sz w:val="24"/>
                <w:szCs w:val="24"/>
                <w:highlight w:val="none"/>
                <w:lang w:val="en-US" w:eastAsia="zh-CN" w:bidi="ar-SA"/>
              </w:rPr>
            </w:pPr>
            <w:r>
              <w:rPr>
                <w:rFonts w:hint="default" w:ascii="Times New Roman" w:hAnsi="宋体" w:eastAsia="宋体" w:cs="Times New Roman"/>
                <w:b w:val="0"/>
                <w:bCs/>
                <w:color w:val="auto"/>
                <w:kern w:val="2"/>
                <w:sz w:val="24"/>
                <w:szCs w:val="24"/>
                <w:highlight w:val="none"/>
                <w:lang w:val="en-US" w:eastAsia="zh-CN" w:bidi="ar-SA"/>
              </w:rPr>
              <w:t>本项目占地面积</w:t>
            </w:r>
            <w:r>
              <w:rPr>
                <w:rFonts w:hint="default" w:ascii="Times New Roman" w:hAnsi="Times New Roman" w:eastAsia="宋体" w:cs="Times New Roman"/>
                <w:b w:val="0"/>
                <w:snapToGrid w:val="0"/>
                <w:color w:val="auto"/>
                <w:kern w:val="0"/>
                <w:sz w:val="24"/>
                <w:szCs w:val="24"/>
                <w:highlight w:val="none"/>
                <w:lang w:val="en-US" w:eastAsia="zh-CN" w:bidi="ar-SA"/>
              </w:rPr>
              <w:t>为</w:t>
            </w:r>
            <w:r>
              <w:rPr>
                <w:rFonts w:hint="eastAsia" w:cs="Times New Roman"/>
                <w:b w:val="0"/>
                <w:snapToGrid w:val="0"/>
                <w:color w:val="auto"/>
                <w:kern w:val="0"/>
                <w:sz w:val="24"/>
                <w:szCs w:val="24"/>
                <w:highlight w:val="none"/>
                <w:lang w:val="en-US" w:eastAsia="zh-CN" w:bidi="ar-SA"/>
              </w:rPr>
              <w:t>7558.86</w:t>
            </w:r>
            <w:r>
              <w:rPr>
                <w:rFonts w:hint="default" w:ascii="Times New Roman" w:hAnsi="Times New Roman" w:eastAsia="宋体" w:cs="Times New Roman"/>
                <w:b w:val="0"/>
                <w:snapToGrid w:val="0"/>
                <w:color w:val="auto"/>
                <w:kern w:val="0"/>
                <w:sz w:val="24"/>
                <w:szCs w:val="24"/>
                <w:highlight w:val="none"/>
                <w:lang w:val="en-US" w:eastAsia="zh-CN" w:bidi="ar-SA"/>
              </w:rPr>
              <w:t>m</w:t>
            </w:r>
            <w:r>
              <w:rPr>
                <w:rFonts w:hint="default" w:ascii="Times New Roman" w:hAnsi="Times New Roman" w:eastAsia="宋体" w:cs="Times New Roman"/>
                <w:b w:val="0"/>
                <w:snapToGrid w:val="0"/>
                <w:color w:val="auto"/>
                <w:kern w:val="0"/>
                <w:sz w:val="24"/>
                <w:szCs w:val="24"/>
                <w:highlight w:val="none"/>
                <w:vertAlign w:val="superscript"/>
                <w:lang w:val="en-US" w:eastAsia="zh-CN" w:bidi="ar-SA"/>
              </w:rPr>
              <w:t>2</w:t>
            </w:r>
            <w:r>
              <w:rPr>
                <w:rFonts w:hint="default" w:ascii="Times New Roman" w:hAnsi="Times New Roman" w:eastAsia="宋体" w:cs="Times New Roman"/>
                <w:b w:val="0"/>
                <w:snapToGrid w:val="0"/>
                <w:color w:val="auto"/>
                <w:kern w:val="0"/>
                <w:sz w:val="24"/>
                <w:szCs w:val="24"/>
                <w:highlight w:val="none"/>
                <w:lang w:val="en-US" w:eastAsia="zh-CN" w:bidi="ar-SA"/>
              </w:rPr>
              <w:t>。根据黑龙江省城市规划设计院采用图解法编制的</w:t>
            </w:r>
            <w:r>
              <w:rPr>
                <w:rFonts w:hint="eastAsia" w:cs="Times New Roman"/>
                <w:b w:val="0"/>
                <w:snapToGrid w:val="0"/>
                <w:color w:val="auto"/>
                <w:kern w:val="0"/>
                <w:sz w:val="24"/>
                <w:szCs w:val="24"/>
                <w:highlight w:val="none"/>
                <w:lang w:val="en-US" w:eastAsia="zh-CN" w:bidi="ar-SA"/>
              </w:rPr>
              <w:t>伊春</w:t>
            </w:r>
            <w:r>
              <w:rPr>
                <w:rFonts w:hint="default" w:ascii="Times New Roman" w:hAnsi="Times New Roman" w:eastAsia="宋体" w:cs="Times New Roman"/>
                <w:b w:val="0"/>
                <w:snapToGrid w:val="0"/>
                <w:color w:val="auto"/>
                <w:kern w:val="0"/>
                <w:sz w:val="24"/>
                <w:szCs w:val="24"/>
                <w:highlight w:val="none"/>
                <w:lang w:val="en-US" w:eastAsia="zh-CN" w:bidi="ar-SA"/>
              </w:rPr>
              <w:t>暴雨强度公式如下：</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center"/>
              <w:rPr>
                <w:rFonts w:hint="default" w:ascii="Times New Roman" w:hAnsi="Times New Roman" w:eastAsia="宋体" w:cs="Times New Roman"/>
                <w:b w:val="0"/>
                <w:snapToGrid w:val="0"/>
                <w:color w:val="auto"/>
                <w:kern w:val="0"/>
                <w:sz w:val="24"/>
                <w:szCs w:val="24"/>
                <w:highlight w:val="none"/>
                <w:lang w:val="en-US" w:eastAsia="zh-CN" w:bidi="ar-SA"/>
              </w:rPr>
            </w:pPr>
            <w:r>
              <w:rPr>
                <w:rFonts w:hint="default" w:ascii="Times New Roman" w:hAnsi="Times New Roman" w:eastAsia="宋体" w:cs="Times New Roman"/>
                <w:b w:val="0"/>
                <w:snapToGrid w:val="0"/>
                <w:color w:val="auto"/>
                <w:kern w:val="0"/>
                <w:sz w:val="24"/>
                <w:szCs w:val="24"/>
                <w:highlight w:val="none"/>
                <w:lang w:val="en-US" w:eastAsia="zh-CN" w:bidi="ar-SA"/>
              </w:rPr>
              <w:t>q=1820(1+0.91lgP)/(t+8.3)</w:t>
            </w:r>
            <w:r>
              <w:rPr>
                <w:rFonts w:hint="default" w:ascii="Times New Roman" w:hAnsi="Times New Roman" w:eastAsia="宋体" w:cs="Times New Roman"/>
                <w:b w:val="0"/>
                <w:snapToGrid w:val="0"/>
                <w:color w:val="auto"/>
                <w:kern w:val="0"/>
                <w:sz w:val="24"/>
                <w:szCs w:val="24"/>
                <w:highlight w:val="none"/>
                <w:vertAlign w:val="superscript"/>
                <w:lang w:val="en-US" w:eastAsia="zh-CN" w:bidi="ar-SA"/>
              </w:rPr>
              <w:t>0.77</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q------为暴雨强度（升/秒</w:t>
            </w:r>
            <w:r>
              <w:rPr>
                <w:rFonts w:hint="default" w:ascii="Times New Roman" w:hAnsi="Times New Roman" w:eastAsia="宋体" w:cs="Times New Roman"/>
                <w:color w:val="auto"/>
                <w:sz w:val="24"/>
                <w:szCs w:val="24"/>
                <w:highlight w:val="none"/>
                <w:shd w:val="clear" w:color="auto" w:fill="auto"/>
              </w:rPr>
              <w:t>·</w:t>
            </w:r>
            <w:r>
              <w:rPr>
                <w:rFonts w:hint="default" w:ascii="Times New Roman" w:hAnsi="Times New Roman" w:eastAsia="宋体" w:cs="Times New Roman"/>
                <w:color w:val="auto"/>
                <w:kern w:val="0"/>
                <w:sz w:val="24"/>
                <w:szCs w:val="24"/>
                <w:highlight w:val="none"/>
                <w:shd w:val="clear" w:color="auto" w:fill="auto"/>
                <w:lang w:val="en-US" w:eastAsia="zh-CN" w:bidi="ar-SA"/>
              </w:rPr>
              <w:t>公顷）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P------重现期（2年）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t------地面集水时间与管内流动时间之和。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初期雨水按照下式进行计算：</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center"/>
              <w:rPr>
                <w:rFonts w:hint="default" w:ascii="Times New Roman" w:hAnsi="Times New Roman" w:eastAsia="宋体" w:cs="Times New Roman"/>
                <w:b w:val="0"/>
                <w:snapToGrid w:val="0"/>
                <w:color w:val="auto"/>
                <w:kern w:val="0"/>
                <w:sz w:val="24"/>
                <w:szCs w:val="24"/>
                <w:highlight w:val="none"/>
                <w:lang w:val="en-US" w:eastAsia="zh-CN" w:bidi="ar-SA"/>
              </w:rPr>
            </w:pPr>
            <w:r>
              <w:rPr>
                <w:rFonts w:ascii="Times New Roman" w:hAnsi="Times New Roman"/>
                <w:color w:val="auto"/>
                <w:sz w:val="24"/>
                <w:szCs w:val="24"/>
                <w:highlight w:val="none"/>
              </w:rPr>
              <w:drawing>
                <wp:inline distT="0" distB="0" distL="114300" distR="114300">
                  <wp:extent cx="1762125" cy="428625"/>
                  <wp:effectExtent l="0" t="0" r="9525" b="952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5"/>
                          <a:stretch>
                            <a:fillRect/>
                          </a:stretch>
                        </pic:blipFill>
                        <pic:spPr>
                          <a:xfrm>
                            <a:off x="0" y="0"/>
                            <a:ext cx="1762125" cy="428625"/>
                          </a:xfrm>
                          <a:prstGeom prst="rect">
                            <a:avLst/>
                          </a:prstGeom>
                          <a:noFill/>
                          <a:ln>
                            <a:noFill/>
                          </a:ln>
                        </pic:spPr>
                      </pic:pic>
                    </a:graphicData>
                  </a:graphic>
                </wp:inline>
              </w:drawing>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Q------初期雨水排放量</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shd w:val="clear" w:color="auto" w:fill="auto"/>
                <w:vertAlign w:val="baseline"/>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F------汇水面积（</w:t>
            </w:r>
            <w:r>
              <w:rPr>
                <w:rFonts w:hint="eastAsia" w:cs="Times New Roman"/>
                <w:color w:val="auto"/>
                <w:kern w:val="0"/>
                <w:sz w:val="24"/>
                <w:szCs w:val="24"/>
                <w:highlight w:val="none"/>
                <w:shd w:val="clear" w:color="auto" w:fill="auto"/>
                <w:lang w:val="en-US" w:eastAsia="zh-CN" w:bidi="ar-SA"/>
              </w:rPr>
              <w:t>7558.86</w:t>
            </w:r>
            <w:r>
              <w:rPr>
                <w:rFonts w:hint="default" w:ascii="Times New Roman" w:hAnsi="Times New Roman" w:eastAsia="宋体" w:cs="Times New Roman"/>
                <w:color w:val="auto"/>
                <w:kern w:val="0"/>
                <w:sz w:val="24"/>
                <w:szCs w:val="24"/>
                <w:highlight w:val="none"/>
                <w:shd w:val="clear" w:color="auto" w:fill="auto"/>
                <w:lang w:val="en-US" w:eastAsia="zh-CN" w:bidi="ar-SA"/>
              </w:rPr>
              <w:t>m</w:t>
            </w:r>
            <w:r>
              <w:rPr>
                <w:rFonts w:hint="default" w:ascii="Times New Roman" w:hAnsi="Times New Roman" w:eastAsia="宋体" w:cs="Times New Roman"/>
                <w:color w:val="auto"/>
                <w:kern w:val="0"/>
                <w:sz w:val="24"/>
                <w:szCs w:val="24"/>
                <w:highlight w:val="none"/>
                <w:shd w:val="clear" w:color="auto" w:fill="auto"/>
                <w:vertAlign w:val="superscript"/>
                <w:lang w:val="en-US" w:eastAsia="zh-CN" w:bidi="ar-SA"/>
              </w:rPr>
              <w:t>2</w:t>
            </w:r>
            <w:r>
              <w:rPr>
                <w:rFonts w:hint="default" w:ascii="Times New Roman" w:hAnsi="Times New Roman" w:eastAsia="宋体" w:cs="Times New Roman"/>
                <w:color w:val="auto"/>
                <w:kern w:val="0"/>
                <w:sz w:val="24"/>
                <w:szCs w:val="24"/>
                <w:highlight w:val="none"/>
                <w:shd w:val="clear" w:color="auto" w:fill="auto"/>
                <w:lang w:val="en-US" w:eastAsia="zh-CN" w:bidi="ar-SA"/>
              </w:rPr>
              <w:t>）</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φ-----径流系数（0.3）</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T-----为收水时间（15分钟）</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kern w:val="0"/>
                <w:sz w:val="24"/>
                <w:szCs w:val="24"/>
                <w:highlight w:val="none"/>
                <w:shd w:val="clear" w:color="auto" w:fill="auto"/>
                <w:lang w:val="en-US" w:eastAsia="zh-CN" w:bidi="ar-SA"/>
              </w:rPr>
              <w:t>本项目占地面积</w:t>
            </w:r>
            <w:r>
              <w:rPr>
                <w:rFonts w:hint="eastAsia" w:cs="Times New Roman"/>
                <w:color w:val="auto"/>
                <w:kern w:val="0"/>
                <w:sz w:val="24"/>
                <w:szCs w:val="24"/>
                <w:highlight w:val="none"/>
                <w:shd w:val="clear" w:color="auto" w:fill="auto"/>
                <w:lang w:val="en-US" w:eastAsia="zh-CN" w:bidi="ar-SA"/>
              </w:rPr>
              <w:t>7558.86</w:t>
            </w:r>
            <w:r>
              <w:rPr>
                <w:rFonts w:hint="default" w:ascii="Times New Roman" w:hAnsi="Times New Roman" w:eastAsia="宋体" w:cs="Times New Roman"/>
                <w:color w:val="auto"/>
                <w:kern w:val="0"/>
                <w:sz w:val="24"/>
                <w:szCs w:val="24"/>
                <w:highlight w:val="none"/>
                <w:shd w:val="clear" w:color="auto" w:fill="auto"/>
                <w:lang w:val="en-US" w:eastAsia="zh-CN" w:bidi="ar-SA"/>
              </w:rPr>
              <w:t>m</w:t>
            </w:r>
            <w:r>
              <w:rPr>
                <w:rFonts w:hint="default" w:ascii="Times New Roman" w:hAnsi="Times New Roman" w:eastAsia="宋体" w:cs="Times New Roman"/>
                <w:color w:val="auto"/>
                <w:kern w:val="0"/>
                <w:sz w:val="24"/>
                <w:szCs w:val="24"/>
                <w:highlight w:val="none"/>
                <w:shd w:val="clear" w:color="auto" w:fill="auto"/>
                <w:vertAlign w:val="superscript"/>
                <w:lang w:val="en-US" w:eastAsia="zh-CN" w:bidi="ar-SA"/>
              </w:rPr>
              <w:t>2</w:t>
            </w:r>
            <w:r>
              <w:rPr>
                <w:rFonts w:hint="default" w:ascii="Times New Roman" w:hAnsi="Times New Roman" w:eastAsia="宋体" w:cs="Times New Roman"/>
                <w:color w:val="auto"/>
                <w:kern w:val="0"/>
                <w:sz w:val="24"/>
                <w:szCs w:val="24"/>
                <w:highlight w:val="none"/>
                <w:shd w:val="clear" w:color="auto" w:fill="auto"/>
                <w:lang w:val="en-US" w:eastAsia="zh-CN" w:bidi="ar-SA"/>
              </w:rPr>
              <w:t>，前15分钟暴雨强度205</w:t>
            </w:r>
            <w:r>
              <w:rPr>
                <w:rFonts w:hint="eastAsia" w:ascii="Times New Roman" w:hAnsi="Times New Roman" w:eastAsia="宋体" w:cs="Times New Roman"/>
                <w:color w:val="auto"/>
                <w:kern w:val="0"/>
                <w:sz w:val="24"/>
                <w:szCs w:val="24"/>
                <w:highlight w:val="none"/>
                <w:shd w:val="clear" w:color="auto" w:fill="auto"/>
                <w:lang w:val="en-US" w:eastAsia="zh-CN" w:bidi="ar-SA"/>
              </w:rPr>
              <w:t>.</w:t>
            </w:r>
            <w:r>
              <w:rPr>
                <w:rFonts w:hint="default" w:ascii="Times New Roman" w:hAnsi="Times New Roman" w:eastAsia="宋体" w:cs="Times New Roman"/>
                <w:color w:val="auto"/>
                <w:kern w:val="0"/>
                <w:sz w:val="24"/>
                <w:szCs w:val="24"/>
                <w:highlight w:val="none"/>
                <w:shd w:val="clear" w:color="auto" w:fill="auto"/>
                <w:lang w:val="en-US" w:eastAsia="zh-CN" w:bidi="ar-SA"/>
              </w:rPr>
              <w:t>28升/秒</w:t>
            </w:r>
            <w:r>
              <w:rPr>
                <w:rFonts w:hint="default" w:ascii="Times New Roman" w:hAnsi="Times New Roman" w:eastAsia="宋体" w:cs="Times New Roman"/>
                <w:color w:val="auto"/>
                <w:sz w:val="24"/>
                <w:szCs w:val="24"/>
                <w:highlight w:val="none"/>
                <w:shd w:val="clear" w:color="auto" w:fill="auto"/>
              </w:rPr>
              <w:t>·</w:t>
            </w:r>
            <w:r>
              <w:rPr>
                <w:rFonts w:hint="default" w:ascii="Times New Roman" w:hAnsi="Times New Roman" w:eastAsia="宋体" w:cs="Times New Roman"/>
                <w:color w:val="auto"/>
                <w:kern w:val="0"/>
                <w:sz w:val="24"/>
                <w:szCs w:val="24"/>
                <w:highlight w:val="none"/>
                <w:shd w:val="clear" w:color="auto" w:fill="auto"/>
                <w:lang w:val="en-US" w:eastAsia="zh-CN" w:bidi="ar-SA"/>
              </w:rPr>
              <w:t>公顷</w:t>
            </w:r>
            <w:r>
              <w:rPr>
                <w:rFonts w:hint="default" w:ascii="Times New Roman" w:hAnsi="Times New Roman" w:eastAsia="宋体" w:cs="Times New Roman"/>
                <w:color w:val="auto"/>
                <w:kern w:val="0"/>
                <w:sz w:val="24"/>
                <w:szCs w:val="24"/>
                <w:highlight w:val="none"/>
                <w:shd w:val="clear" w:color="auto" w:fill="auto"/>
                <w:vertAlign w:val="baseline"/>
                <w:lang w:val="en-US" w:eastAsia="zh-CN" w:bidi="ar-SA"/>
              </w:rPr>
              <w:t>。</w:t>
            </w:r>
            <w:r>
              <w:rPr>
                <w:rFonts w:hint="default" w:ascii="Times New Roman" w:hAnsi="Times New Roman" w:eastAsia="宋体" w:cs="Times New Roman"/>
                <w:color w:val="auto"/>
                <w:kern w:val="0"/>
                <w:sz w:val="24"/>
                <w:szCs w:val="24"/>
                <w:highlight w:val="none"/>
                <w:shd w:val="clear" w:color="auto" w:fill="auto"/>
                <w:lang w:val="en-US" w:eastAsia="zh-CN" w:bidi="ar-SA"/>
              </w:rPr>
              <w:t>初期雨水排放量约为</w:t>
            </w:r>
            <w:r>
              <w:rPr>
                <w:rFonts w:hint="eastAsia" w:cs="Times New Roman"/>
                <w:color w:val="auto"/>
                <w:kern w:val="0"/>
                <w:sz w:val="24"/>
                <w:szCs w:val="24"/>
                <w:highlight w:val="none"/>
                <w:shd w:val="clear" w:color="auto" w:fill="auto"/>
                <w:lang w:val="en-US" w:eastAsia="zh-CN" w:bidi="ar-SA"/>
              </w:rPr>
              <w:t>41.9</w:t>
            </w:r>
            <w:r>
              <w:rPr>
                <w:rFonts w:hint="default" w:ascii="Times New Roman" w:hAnsi="Times New Roman" w:eastAsia="宋体" w:cs="Times New Roman"/>
                <w:color w:val="auto"/>
                <w:kern w:val="0"/>
                <w:sz w:val="24"/>
                <w:szCs w:val="24"/>
                <w:highlight w:val="none"/>
                <w:shd w:val="clear" w:color="auto" w:fill="auto"/>
                <w:lang w:val="en-US" w:eastAsia="zh-CN" w:bidi="ar-SA"/>
              </w:rPr>
              <w:t>m</w:t>
            </w:r>
            <w:r>
              <w:rPr>
                <w:rFonts w:hint="default" w:ascii="Times New Roman" w:hAnsi="Times New Roman" w:eastAsia="宋体" w:cs="Times New Roman"/>
                <w:color w:val="auto"/>
                <w:kern w:val="0"/>
                <w:sz w:val="24"/>
                <w:szCs w:val="24"/>
                <w:highlight w:val="none"/>
                <w:shd w:val="clear" w:color="auto" w:fill="auto"/>
                <w:vertAlign w:val="superscript"/>
                <w:lang w:val="en-US" w:eastAsia="zh-CN" w:bidi="ar-SA"/>
              </w:rPr>
              <w:t>3</w:t>
            </w:r>
            <w:r>
              <w:rPr>
                <w:rFonts w:hint="default" w:ascii="Times New Roman" w:hAnsi="Times New Roman" w:eastAsia="宋体" w:cs="Times New Roman"/>
                <w:color w:val="auto"/>
                <w:kern w:val="0"/>
                <w:sz w:val="24"/>
                <w:szCs w:val="24"/>
                <w:highlight w:val="none"/>
                <w:shd w:val="clear" w:color="auto" w:fill="auto"/>
                <w:lang w:val="en-US" w:eastAsia="zh-CN" w:bidi="ar-SA"/>
              </w:rPr>
              <w:t>/次。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建设单位在厂区东北角设置1座</w:t>
            </w:r>
            <w:r>
              <w:rPr>
                <w:rFonts w:hint="default" w:ascii="Times New Roman" w:hAnsi="Times New Roman" w:cs="Times New Roman"/>
                <w:color w:val="auto"/>
                <w:kern w:val="2"/>
                <w:sz w:val="24"/>
                <w:szCs w:val="24"/>
                <w:highlight w:val="none"/>
                <w:lang w:val="en-US" w:eastAsia="zh-CN" w:bidi="ar-SA"/>
              </w:rPr>
              <w:t>100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的沉淀池，兼作收集雨季初期雨水。初期雨水经厂区四周排水沟汇入沉淀池沉淀，用于生产用水。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项目生产废水产生量为</w:t>
            </w:r>
            <w:r>
              <w:rPr>
                <w:rFonts w:hint="default" w:ascii="Times New Roman" w:hAnsi="Times New Roman" w:cs="Times New Roman"/>
                <w:color w:val="auto"/>
                <w:kern w:val="2"/>
                <w:sz w:val="24"/>
                <w:szCs w:val="24"/>
                <w:highlight w:val="none"/>
                <w:lang w:val="en-US" w:eastAsia="zh-CN" w:bidi="ar-SA"/>
              </w:rPr>
              <w:t>4</w:t>
            </w:r>
            <w:r>
              <w:rPr>
                <w:rFonts w:hint="eastAsia" w:cs="Times New Roman"/>
                <w:color w:val="auto"/>
                <w:kern w:val="2"/>
                <w:sz w:val="24"/>
                <w:szCs w:val="24"/>
                <w:highlight w:val="none"/>
                <w:lang w:val="en-US" w:eastAsia="zh-CN" w:bidi="ar-SA"/>
              </w:rPr>
              <w:t>.59</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default" w:ascii="Times New Roman" w:hAnsi="Times New Roman" w:eastAsia="宋体" w:cs="Times New Roman"/>
                <w:color w:val="auto"/>
                <w:sz w:val="24"/>
                <w:szCs w:val="24"/>
                <w:highlight w:val="none"/>
                <w:lang w:val="en-US" w:eastAsia="zh-CN"/>
              </w:rPr>
              <w:t>，初期雨水产生量为</w:t>
            </w:r>
            <w:r>
              <w:rPr>
                <w:rFonts w:hint="eastAsia" w:cs="Times New Roman"/>
                <w:color w:val="auto"/>
                <w:kern w:val="2"/>
                <w:sz w:val="24"/>
                <w:szCs w:val="24"/>
                <w:highlight w:val="none"/>
                <w:lang w:val="en-US" w:eastAsia="zh-CN" w:bidi="ar-SA"/>
              </w:rPr>
              <w:t>41.9</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/次，总</w:t>
            </w:r>
            <w:r>
              <w:rPr>
                <w:rFonts w:hint="eastAsia" w:cs="Times New Roman"/>
                <w:color w:val="auto"/>
                <w:kern w:val="2"/>
                <w:sz w:val="24"/>
                <w:szCs w:val="24"/>
                <w:highlight w:val="none"/>
                <w:lang w:val="en-US" w:eastAsia="zh-CN" w:bidi="ar-SA"/>
              </w:rPr>
              <w:t>产生</w:t>
            </w:r>
            <w:r>
              <w:rPr>
                <w:rFonts w:hint="default" w:ascii="Times New Roman" w:hAnsi="Times New Roman" w:eastAsia="宋体" w:cs="Times New Roman"/>
                <w:color w:val="auto"/>
                <w:kern w:val="2"/>
                <w:sz w:val="24"/>
                <w:szCs w:val="24"/>
                <w:highlight w:val="none"/>
                <w:lang w:val="en-US" w:eastAsia="zh-CN" w:bidi="ar-SA"/>
              </w:rPr>
              <w:t>量为</w:t>
            </w:r>
            <w:r>
              <w:rPr>
                <w:rFonts w:hint="eastAsia" w:cs="Times New Roman"/>
                <w:color w:val="auto"/>
                <w:kern w:val="2"/>
                <w:sz w:val="24"/>
                <w:szCs w:val="24"/>
                <w:highlight w:val="none"/>
                <w:lang w:val="en-US" w:eastAsia="zh-CN" w:bidi="ar-SA"/>
              </w:rPr>
              <w:t>46.49</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，本次计划建设1座</w:t>
            </w:r>
            <w:r>
              <w:rPr>
                <w:rFonts w:hint="default" w:ascii="Times New Roman" w:hAnsi="Times New Roman" w:cs="Times New Roman"/>
                <w:color w:val="auto"/>
                <w:kern w:val="2"/>
                <w:sz w:val="24"/>
                <w:szCs w:val="24"/>
                <w:highlight w:val="none"/>
                <w:lang w:val="en-US" w:eastAsia="zh-CN" w:bidi="ar-SA"/>
              </w:rPr>
              <w:t>100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的沉淀池对初期雨水及生产废水进行收集，完全满足要求。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（3）供电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本项目供电由区域供电电网引入。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（4）供热</w:t>
            </w:r>
          </w:p>
          <w:p>
            <w:pPr>
              <w:pStyle w:val="49"/>
              <w:keepNext w:val="0"/>
              <w:keepLines w:val="0"/>
              <w:pageBreakBefore w:val="0"/>
              <w:kinsoku/>
              <w:wordWrap/>
              <w:overflowPunct/>
              <w:topLinePunct w:val="0"/>
              <w:autoSpaceDE/>
              <w:autoSpaceDN/>
              <w:bidi w:val="0"/>
              <w:adjustRightInd/>
              <w:spacing w:line="360" w:lineRule="auto"/>
              <w:ind w:firstLine="480"/>
              <w:textAlignment w:val="auto"/>
              <w:rPr>
                <w:rFonts w:ascii="Times New Roman" w:hAnsi="Times New Roman" w:eastAsia="宋体" w:cs="Times New Roman"/>
                <w:color w:val="auto"/>
                <w:highlight w:val="none"/>
              </w:rPr>
            </w:pPr>
            <w:r>
              <w:rPr>
                <w:rFonts w:hint="default"/>
                <w:color w:val="auto"/>
                <w:sz w:val="24"/>
                <w:szCs w:val="24"/>
                <w:highlight w:val="none"/>
              </w:rPr>
              <w:t>本项目冬季不生产，不设采暖设施。</w:t>
            </w:r>
          </w:p>
          <w:p>
            <w:pPr>
              <w:pStyle w:val="46"/>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drawing>
                <wp:inline distT="0" distB="0" distL="114300" distR="114300">
                  <wp:extent cx="5241290" cy="3855720"/>
                  <wp:effectExtent l="0" t="0" r="16510" b="11430"/>
                  <wp:docPr id="4" name="图片 4" descr="175732000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7320003568"/>
                          <pic:cNvPicPr>
                            <a:picLocks noChangeAspect="1"/>
                          </pic:cNvPicPr>
                        </pic:nvPicPr>
                        <pic:blipFill>
                          <a:blip r:embed="rId16"/>
                          <a:stretch>
                            <a:fillRect/>
                          </a:stretch>
                        </pic:blipFill>
                        <pic:spPr>
                          <a:xfrm>
                            <a:off x="0" y="0"/>
                            <a:ext cx="5241290" cy="38557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FF"/>
                <w:sz w:val="24"/>
                <w:szCs w:val="24"/>
                <w:highlight w:val="none"/>
                <w:lang w:val="en-US" w:eastAsia="zh-CN"/>
              </w:rPr>
            </w:pPr>
            <w:r>
              <w:rPr>
                <w:rFonts w:hint="eastAsia" w:cs="Times New Roman"/>
                <w:b/>
                <w:bCs/>
                <w:color w:val="0000FF"/>
                <w:sz w:val="24"/>
                <w:szCs w:val="24"/>
                <w:highlight w:val="none"/>
                <w:lang w:eastAsia="zh-CN"/>
              </w:rPr>
              <w:t>图</w:t>
            </w:r>
            <w:r>
              <w:rPr>
                <w:rFonts w:hint="default" w:ascii="Times New Roman" w:hAnsi="Times New Roman" w:cs="Times New Roman"/>
                <w:b/>
                <w:bCs/>
                <w:color w:val="0000FF"/>
                <w:sz w:val="24"/>
                <w:szCs w:val="24"/>
                <w:highlight w:val="none"/>
                <w:lang w:val="en-US" w:eastAsia="zh-CN"/>
              </w:rPr>
              <w:t>2</w:t>
            </w:r>
            <w:r>
              <w:rPr>
                <w:rFonts w:hint="eastAsia" w:cs="Times New Roman"/>
                <w:b/>
                <w:bCs/>
                <w:color w:val="0000FF"/>
                <w:sz w:val="24"/>
                <w:szCs w:val="24"/>
                <w:highlight w:val="none"/>
                <w:lang w:val="en-US" w:eastAsia="zh-CN"/>
              </w:rPr>
              <w:t>-</w:t>
            </w:r>
            <w:r>
              <w:rPr>
                <w:rFonts w:hint="default" w:ascii="Times New Roman" w:hAnsi="Times New Roman" w:cs="Times New Roman"/>
                <w:b/>
                <w:bCs/>
                <w:color w:val="0000FF"/>
                <w:sz w:val="24"/>
                <w:szCs w:val="24"/>
                <w:highlight w:val="none"/>
                <w:lang w:val="en-US" w:eastAsia="zh-CN"/>
              </w:rPr>
              <w:t>1</w:t>
            </w:r>
            <w:r>
              <w:rPr>
                <w:rFonts w:hint="eastAsia" w:cs="Times New Roman"/>
                <w:b/>
                <w:bCs/>
                <w:color w:val="0000FF"/>
                <w:sz w:val="24"/>
                <w:szCs w:val="24"/>
                <w:highlight w:val="none"/>
                <w:lang w:val="en-US" w:eastAsia="zh-CN"/>
              </w:rPr>
              <w:t xml:space="preserve"> 项目水平衡图（</w:t>
            </w:r>
            <w:r>
              <w:rPr>
                <w:rFonts w:hint="default" w:ascii="Times New Roman" w:hAnsi="Times New Roman" w:cs="Times New Roman"/>
                <w:b/>
                <w:bCs/>
                <w:color w:val="0000FF"/>
                <w:sz w:val="24"/>
                <w:szCs w:val="24"/>
                <w:highlight w:val="none"/>
                <w:lang w:val="en-US" w:eastAsia="zh-CN"/>
              </w:rPr>
              <w:t>m</w:t>
            </w:r>
            <w:r>
              <w:rPr>
                <w:rFonts w:hint="default" w:ascii="Times New Roman" w:hAnsi="Times New Roman" w:cs="Times New Roman"/>
                <w:b/>
                <w:bCs/>
                <w:color w:val="0000FF"/>
                <w:sz w:val="24"/>
                <w:szCs w:val="24"/>
                <w:highlight w:val="none"/>
                <w:vertAlign w:val="superscript"/>
                <w:lang w:val="en-US" w:eastAsia="zh-CN"/>
              </w:rPr>
              <w:t>3</w:t>
            </w:r>
            <w:r>
              <w:rPr>
                <w:rFonts w:hint="eastAsia" w:cs="Times New Roman"/>
                <w:b/>
                <w:bCs/>
                <w:color w:val="0000FF"/>
                <w:sz w:val="24"/>
                <w:szCs w:val="24"/>
                <w:highlight w:val="none"/>
                <w:lang w:val="en-US" w:eastAsia="zh-CN"/>
              </w:rPr>
              <w:t>/</w:t>
            </w:r>
            <w:r>
              <w:rPr>
                <w:rFonts w:hint="default" w:ascii="Times New Roman" w:hAnsi="Times New Roman" w:cs="Times New Roman"/>
                <w:b/>
                <w:bCs/>
                <w:color w:val="0000FF"/>
                <w:sz w:val="24"/>
                <w:szCs w:val="24"/>
                <w:highlight w:val="none"/>
                <w:lang w:val="en-US" w:eastAsia="zh-CN"/>
              </w:rPr>
              <w:t>d</w:t>
            </w:r>
            <w:r>
              <w:rPr>
                <w:rFonts w:hint="eastAsia" w:cs="Times New Roman"/>
                <w:b/>
                <w:bCs/>
                <w:color w:val="0000FF"/>
                <w:sz w:val="24"/>
                <w:szCs w:val="24"/>
                <w:highlight w:val="none"/>
                <w:lang w:val="en-US" w:eastAsia="zh-CN"/>
              </w:rPr>
              <w:t>）</w:t>
            </w:r>
          </w:p>
          <w:p>
            <w:pPr>
              <w:pStyle w:val="14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8</w:t>
            </w:r>
            <w:r>
              <w:rPr>
                <w:rFonts w:hint="default" w:ascii="Times New Roman" w:hAnsi="Times New Roman" w:cs="Times New Roman"/>
                <w:b/>
                <w:bCs/>
                <w:color w:val="auto"/>
                <w:highlight w:val="none"/>
              </w:rPr>
              <w:t>、平面布置</w:t>
            </w:r>
          </w:p>
          <w:p>
            <w:pPr>
              <w:spacing w:line="360" w:lineRule="auto"/>
              <w:ind w:firstLine="480" w:firstLineChars="200"/>
              <w:rPr>
                <w:rFonts w:hint="eastAsia"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rPr>
              <w:t>本项目位于</w:t>
            </w:r>
            <w:r>
              <w:rPr>
                <w:rFonts w:hint="eastAsia" w:cs="Times New Roman"/>
                <w:bCs/>
                <w:color w:val="auto"/>
                <w:sz w:val="24"/>
                <w:szCs w:val="24"/>
                <w:highlight w:val="none"/>
                <w:lang w:eastAsia="zh-CN"/>
              </w:rPr>
              <w:t>伊春市嘉荫县旧城村</w:t>
            </w:r>
            <w:r>
              <w:rPr>
                <w:rFonts w:hint="default" w:ascii="Times New Roman" w:hAnsi="Times New Roman" w:eastAsia="宋体" w:cs="Times New Roman"/>
                <w:bCs/>
                <w:color w:val="auto"/>
                <w:sz w:val="24"/>
                <w:szCs w:val="24"/>
                <w:highlight w:val="none"/>
              </w:rPr>
              <w:t>，项目的平面布置根据生产工艺流程，物料流向及生产特点，结合地形、地质等自然情况，并依据防火、消防、安全、环保等规范，本着节约用地、经济合理的原则进行总平面布置</w:t>
            </w:r>
            <w:r>
              <w:rPr>
                <w:rFonts w:hint="eastAsia" w:ascii="Times New Roman" w:hAnsi="Times New Roman" w:eastAsia="宋体" w:cs="Times New Roman"/>
                <w:bCs/>
                <w:color w:val="auto"/>
                <w:sz w:val="24"/>
                <w:szCs w:val="24"/>
                <w:highlight w:val="none"/>
                <w:lang w:eastAsia="zh-CN"/>
              </w:rPr>
              <w:t>。</w:t>
            </w:r>
          </w:p>
          <w:p>
            <w:pPr>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本项目建设搅拌站、</w:t>
            </w:r>
            <w:r>
              <w:rPr>
                <w:rFonts w:hint="default" w:ascii="Times New Roman" w:hAnsi="Times New Roman" w:eastAsia="宋体" w:cs="Times New Roman"/>
                <w:bCs/>
                <w:color w:val="auto"/>
                <w:sz w:val="24"/>
                <w:szCs w:val="24"/>
                <w:highlight w:val="none"/>
                <w:lang w:eastAsia="zh-CN"/>
              </w:rPr>
              <w:t>原料</w:t>
            </w:r>
            <w:r>
              <w:rPr>
                <w:rFonts w:hint="default" w:ascii="Times New Roman" w:hAnsi="Times New Roman" w:eastAsia="宋体" w:cs="Times New Roman"/>
                <w:bCs/>
                <w:color w:val="auto"/>
                <w:sz w:val="24"/>
                <w:szCs w:val="24"/>
                <w:highlight w:val="none"/>
              </w:rPr>
              <w:t>堆场、水泥筒仓、粉煤灰筒仓、办公室、实验室、</w:t>
            </w:r>
            <w:r>
              <w:rPr>
                <w:rFonts w:hint="default" w:ascii="Times New Roman" w:hAnsi="Times New Roman" w:eastAsia="宋体" w:cs="Times New Roman"/>
                <w:bCs/>
                <w:color w:val="auto"/>
                <w:sz w:val="24"/>
                <w:szCs w:val="24"/>
                <w:highlight w:val="none"/>
                <w:lang w:eastAsia="zh-CN"/>
              </w:rPr>
              <w:t>外加剂</w:t>
            </w:r>
            <w:r>
              <w:rPr>
                <w:rFonts w:hint="default" w:ascii="Times New Roman" w:hAnsi="Times New Roman" w:eastAsia="宋体" w:cs="Times New Roman"/>
                <w:bCs/>
                <w:color w:val="auto"/>
                <w:sz w:val="24"/>
                <w:szCs w:val="24"/>
                <w:highlight w:val="none"/>
              </w:rPr>
              <w:t>储罐、仓库等。混凝土搅拌站、</w:t>
            </w:r>
            <w:r>
              <w:rPr>
                <w:rFonts w:hint="default" w:ascii="Times New Roman" w:hAnsi="Times New Roman" w:eastAsia="宋体" w:cs="Times New Roman"/>
                <w:bCs/>
                <w:color w:val="auto"/>
                <w:sz w:val="24"/>
                <w:szCs w:val="24"/>
                <w:highlight w:val="none"/>
                <w:lang w:eastAsia="zh-CN"/>
              </w:rPr>
              <w:t>料场、车间、库房</w:t>
            </w:r>
            <w:r>
              <w:rPr>
                <w:rFonts w:hint="default" w:ascii="Times New Roman" w:hAnsi="Times New Roman" w:eastAsia="宋体" w:cs="Times New Roman"/>
                <w:bCs/>
                <w:color w:val="auto"/>
                <w:sz w:val="24"/>
                <w:szCs w:val="24"/>
                <w:highlight w:val="none"/>
              </w:rPr>
              <w:t>位于厂区</w:t>
            </w:r>
            <w:r>
              <w:rPr>
                <w:rFonts w:hint="eastAsia" w:cs="Times New Roman"/>
                <w:bCs/>
                <w:color w:val="auto"/>
                <w:sz w:val="24"/>
                <w:szCs w:val="24"/>
                <w:highlight w:val="none"/>
                <w:lang w:eastAsia="zh-CN"/>
              </w:rPr>
              <w:t>东南</w:t>
            </w:r>
            <w:r>
              <w:rPr>
                <w:rFonts w:hint="default" w:ascii="Times New Roman" w:hAnsi="Times New Roman" w:eastAsia="宋体" w:cs="Times New Roman"/>
                <w:bCs/>
                <w:color w:val="auto"/>
                <w:sz w:val="24"/>
                <w:szCs w:val="24"/>
                <w:highlight w:val="none"/>
              </w:rPr>
              <w:t>侧；办公室</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实验室位于厂区</w:t>
            </w:r>
            <w:r>
              <w:rPr>
                <w:rFonts w:hint="eastAsia" w:cs="Times New Roman"/>
                <w:bCs/>
                <w:color w:val="auto"/>
                <w:sz w:val="24"/>
                <w:szCs w:val="24"/>
                <w:highlight w:val="none"/>
                <w:lang w:eastAsia="zh-CN"/>
              </w:rPr>
              <w:t>北</w:t>
            </w:r>
            <w:r>
              <w:rPr>
                <w:rFonts w:hint="default" w:ascii="Times New Roman" w:hAnsi="Times New Roman" w:eastAsia="宋体" w:cs="Times New Roman"/>
                <w:bCs/>
                <w:color w:val="auto"/>
                <w:sz w:val="24"/>
                <w:szCs w:val="24"/>
                <w:highlight w:val="none"/>
              </w:rPr>
              <w:t>侧。项目平面布置功能分区合理、布局紧凑，各个建筑物的布置均满足工艺需要</w:t>
            </w:r>
            <w:r>
              <w:rPr>
                <w:rFonts w:hint="eastAsia" w:cs="Times New Roman"/>
                <w:bCs/>
                <w:color w:val="auto"/>
                <w:sz w:val="24"/>
                <w:szCs w:val="24"/>
                <w:highlight w:val="none"/>
                <w:lang w:eastAsia="zh-CN"/>
              </w:rPr>
              <w:t>，大门靠近331公路，</w:t>
            </w:r>
            <w:r>
              <w:rPr>
                <w:rFonts w:hint="default" w:ascii="Times New Roman" w:hAnsi="Times New Roman" w:eastAsia="宋体" w:cs="Times New Roman"/>
                <w:bCs/>
                <w:color w:val="auto"/>
                <w:sz w:val="24"/>
                <w:szCs w:val="24"/>
                <w:highlight w:val="none"/>
              </w:rPr>
              <w:t>项目所在地道路系统完善，有利于原料及产品的运输。本项目布置简单直观，因此，在保证各项污染措施处理达标的情况下，厂区平面布置合理。厂区平面布置见附图</w:t>
            </w:r>
            <w:r>
              <w:rPr>
                <w:rFonts w:hint="default"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rPr>
              <w:t>。</w:t>
            </w:r>
          </w:p>
          <w:p>
            <w:pPr>
              <w:spacing w:line="360" w:lineRule="auto"/>
              <w:ind w:firstLine="482" w:firstLineChars="200"/>
              <w:rPr>
                <w:b/>
                <w:bCs/>
                <w:color w:val="auto"/>
                <w:sz w:val="24"/>
                <w:highlight w:val="none"/>
              </w:rPr>
            </w:pPr>
            <w:r>
              <w:rPr>
                <w:rFonts w:hint="default" w:ascii="Times New Roman" w:hAnsi="Times New Roman" w:cs="Times New Roman"/>
                <w:b/>
                <w:bCs/>
                <w:color w:val="auto"/>
                <w:sz w:val="24"/>
                <w:highlight w:val="none"/>
                <w:lang w:val="en-US" w:eastAsia="zh-CN"/>
              </w:rPr>
              <w:t>9</w:t>
            </w:r>
            <w:r>
              <w:rPr>
                <w:b/>
                <w:bCs/>
                <w:color w:val="auto"/>
                <w:sz w:val="24"/>
                <w:highlight w:val="none"/>
              </w:rPr>
              <w:t>、环保投资概算</w:t>
            </w:r>
          </w:p>
          <w:p>
            <w:pPr>
              <w:pStyle w:val="145"/>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auto"/>
                <w:sz w:val="24"/>
                <w:highlight w:val="none"/>
              </w:rPr>
            </w:pPr>
            <w:r>
              <w:rPr>
                <w:rFonts w:hint="default" w:ascii="Times New Roman" w:hAnsi="Times New Roman" w:cs="Times New Roman"/>
                <w:bCs/>
                <w:color w:val="auto"/>
                <w:highlight w:val="none"/>
              </w:rPr>
              <w:t>本项目总投资</w:t>
            </w:r>
            <w:r>
              <w:rPr>
                <w:rFonts w:hint="eastAsia" w:cs="Times New Roman"/>
                <w:bCs/>
                <w:color w:val="auto"/>
                <w:highlight w:val="none"/>
                <w:lang w:val="en-US" w:eastAsia="zh-CN"/>
              </w:rPr>
              <w:t>108.15</w:t>
            </w:r>
            <w:r>
              <w:rPr>
                <w:rFonts w:hint="default" w:ascii="Times New Roman" w:hAnsi="Times New Roman" w:eastAsia="宋体" w:cs="Times New Roman"/>
                <w:bCs/>
                <w:color w:val="auto"/>
                <w:highlight w:val="none"/>
                <w:lang w:val="en-US" w:eastAsia="zh-CN"/>
              </w:rPr>
              <w:t>万元，环保投资约</w:t>
            </w:r>
            <w:r>
              <w:rPr>
                <w:rFonts w:hint="eastAsia" w:cs="Times New Roman"/>
                <w:bCs/>
                <w:color w:val="auto"/>
                <w:highlight w:val="none"/>
                <w:lang w:val="en-US" w:eastAsia="zh-CN"/>
              </w:rPr>
              <w:t>21.63</w:t>
            </w:r>
            <w:r>
              <w:rPr>
                <w:rFonts w:hint="default" w:ascii="Times New Roman" w:hAnsi="Times New Roman" w:eastAsia="宋体" w:cs="Times New Roman"/>
                <w:bCs/>
                <w:color w:val="auto"/>
                <w:highlight w:val="none"/>
                <w:lang w:val="en-US" w:eastAsia="zh-CN"/>
              </w:rPr>
              <w:t>万元，约占总投资的</w:t>
            </w:r>
            <w:r>
              <w:rPr>
                <w:rFonts w:hint="eastAsia" w:cs="Times New Roman"/>
                <w:bCs/>
                <w:color w:val="auto"/>
                <w:highlight w:val="none"/>
                <w:lang w:val="en-US" w:eastAsia="zh-CN"/>
              </w:rPr>
              <w:t>20</w:t>
            </w:r>
            <w:r>
              <w:rPr>
                <w:rFonts w:hint="default" w:ascii="Times New Roman" w:hAnsi="Times New Roman" w:eastAsia="宋体" w:cs="Times New Roman"/>
                <w:bCs/>
                <w:color w:val="auto"/>
                <w:highlight w:val="none"/>
                <w:lang w:val="en-US" w:eastAsia="zh-CN"/>
              </w:rPr>
              <w:t>%，环保投资估算见表2</w:t>
            </w:r>
            <w:r>
              <w:rPr>
                <w:rFonts w:hint="eastAsia" w:ascii="Times New Roman" w:hAnsi="Times New Roman" w:eastAsia="宋体" w:cs="Times New Roman"/>
                <w:bCs/>
                <w:color w:val="auto"/>
                <w:highlight w:val="none"/>
                <w:lang w:val="en-US" w:eastAsia="zh-CN"/>
              </w:rPr>
              <w:t>-</w:t>
            </w:r>
            <w:r>
              <w:rPr>
                <w:rFonts w:hint="default" w:ascii="Times New Roman" w:hAnsi="Times New Roman" w:cs="Times New Roman"/>
                <w:bCs/>
                <w:color w:val="auto"/>
                <w:highlight w:val="none"/>
                <w:lang w:val="en-US" w:eastAsia="zh-CN"/>
              </w:rPr>
              <w:t>7</w:t>
            </w:r>
            <w:r>
              <w:rPr>
                <w:rFonts w:hint="default" w:ascii="Times New Roman" w:hAnsi="Times New Roman" w:eastAsia="宋体" w:cs="Times New Roman"/>
                <w:bCs/>
                <w:color w:val="auto"/>
                <w:highlight w:val="none"/>
                <w:lang w:val="en-US" w:eastAsia="zh-CN"/>
              </w:rPr>
              <w:t>。</w:t>
            </w:r>
          </w:p>
          <w:p>
            <w:pPr>
              <w:pStyle w:val="10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b/>
                <w:bCs/>
                <w:color w:val="auto"/>
                <w:kern w:val="0"/>
                <w:sz w:val="24"/>
                <w:highlight w:val="none"/>
              </w:rPr>
            </w:pPr>
            <w:r>
              <w:rPr>
                <w:rFonts w:hint="eastAsia"/>
                <w:b/>
                <w:bCs/>
                <w:color w:val="auto"/>
                <w:kern w:val="0"/>
                <w:sz w:val="24"/>
                <w:highlight w:val="none"/>
              </w:rPr>
              <w:t>表</w:t>
            </w:r>
            <w:r>
              <w:rPr>
                <w:rFonts w:hint="default" w:ascii="Times New Roman" w:hAnsi="Times New Roman" w:cs="Times New Roman"/>
                <w:b/>
                <w:bCs/>
                <w:color w:val="auto"/>
                <w:kern w:val="0"/>
                <w:sz w:val="24"/>
                <w:highlight w:val="none"/>
                <w:lang w:val="en-US" w:eastAsia="zh-CN"/>
              </w:rPr>
              <w:t>2</w:t>
            </w:r>
            <w:r>
              <w:rPr>
                <w:rFonts w:hint="eastAsia"/>
                <w:b/>
                <w:bCs/>
                <w:color w:val="auto"/>
                <w:kern w:val="0"/>
                <w:sz w:val="24"/>
                <w:highlight w:val="none"/>
                <w:lang w:val="en-US" w:eastAsia="zh-CN"/>
              </w:rPr>
              <w:t>-</w:t>
            </w:r>
            <w:r>
              <w:rPr>
                <w:rFonts w:hint="default" w:ascii="Times New Roman" w:hAnsi="Times New Roman" w:cs="Times New Roman"/>
                <w:b/>
                <w:bCs/>
                <w:color w:val="auto"/>
                <w:kern w:val="0"/>
                <w:sz w:val="24"/>
                <w:highlight w:val="none"/>
                <w:lang w:val="en-US" w:eastAsia="zh-CN"/>
              </w:rPr>
              <w:t>7</w:t>
            </w:r>
            <w:r>
              <w:rPr>
                <w:rFonts w:hint="eastAsia"/>
                <w:b/>
                <w:bCs/>
                <w:color w:val="auto"/>
                <w:kern w:val="0"/>
                <w:sz w:val="24"/>
                <w:highlight w:val="none"/>
                <w:lang w:val="en-US" w:eastAsia="zh-CN"/>
              </w:rPr>
              <w:t xml:space="preserve"> </w:t>
            </w:r>
            <w:r>
              <w:rPr>
                <w:rFonts w:hint="eastAsia"/>
                <w:b/>
                <w:bCs/>
                <w:color w:val="auto"/>
                <w:kern w:val="0"/>
                <w:sz w:val="24"/>
                <w:highlight w:val="none"/>
              </w:rPr>
              <w:t xml:space="preserve"> 环保投资一览表</w:t>
            </w:r>
          </w:p>
          <w:tbl>
            <w:tblPr>
              <w:tblStyle w:val="32"/>
              <w:tblW w:w="850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330"/>
              <w:gridCol w:w="4912"/>
              <w:gridCol w:w="12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9" w:type="dxa"/>
                  <w:noWrap w:val="0"/>
                  <w:vAlign w:val="center"/>
                </w:tcPr>
                <w:p>
                  <w:pPr>
                    <w:pStyle w:val="185"/>
                    <w:spacing w:line="320" w:lineRule="exact"/>
                    <w:rPr>
                      <w:rFonts w:eastAsia="宋体"/>
                      <w:color w:val="auto"/>
                      <w:szCs w:val="21"/>
                    </w:rPr>
                  </w:pPr>
                  <w:r>
                    <w:rPr>
                      <w:rFonts w:hAnsi="宋体" w:eastAsia="宋体"/>
                      <w:color w:val="auto"/>
                      <w:szCs w:val="21"/>
                    </w:rPr>
                    <w:t>序号</w:t>
                  </w:r>
                </w:p>
              </w:tc>
              <w:tc>
                <w:tcPr>
                  <w:tcW w:w="1330" w:type="dxa"/>
                  <w:noWrap w:val="0"/>
                  <w:vAlign w:val="center"/>
                </w:tcPr>
                <w:p>
                  <w:pPr>
                    <w:pStyle w:val="185"/>
                    <w:spacing w:line="320" w:lineRule="exact"/>
                    <w:rPr>
                      <w:rFonts w:eastAsia="宋体"/>
                      <w:color w:val="auto"/>
                      <w:szCs w:val="21"/>
                    </w:rPr>
                  </w:pPr>
                  <w:r>
                    <w:rPr>
                      <w:rFonts w:hAnsi="宋体" w:eastAsia="宋体"/>
                      <w:color w:val="auto"/>
                      <w:szCs w:val="21"/>
                    </w:rPr>
                    <w:t>处理项目</w:t>
                  </w:r>
                </w:p>
              </w:tc>
              <w:tc>
                <w:tcPr>
                  <w:tcW w:w="4912" w:type="dxa"/>
                  <w:noWrap w:val="0"/>
                  <w:vAlign w:val="center"/>
                </w:tcPr>
                <w:p>
                  <w:pPr>
                    <w:pStyle w:val="185"/>
                    <w:spacing w:line="320" w:lineRule="exact"/>
                    <w:rPr>
                      <w:rFonts w:eastAsia="宋体"/>
                      <w:color w:val="auto"/>
                      <w:szCs w:val="21"/>
                    </w:rPr>
                  </w:pPr>
                  <w:r>
                    <w:rPr>
                      <w:rFonts w:hAnsi="宋体" w:eastAsia="宋体"/>
                      <w:color w:val="auto"/>
                      <w:szCs w:val="21"/>
                    </w:rPr>
                    <w:t>处理措施</w:t>
                  </w:r>
                </w:p>
              </w:tc>
              <w:tc>
                <w:tcPr>
                  <w:tcW w:w="1284" w:type="dxa"/>
                  <w:noWrap w:val="0"/>
                  <w:vAlign w:val="center"/>
                </w:tcPr>
                <w:p>
                  <w:pPr>
                    <w:pStyle w:val="185"/>
                    <w:spacing w:line="320" w:lineRule="exact"/>
                    <w:rPr>
                      <w:rFonts w:eastAsia="宋体"/>
                      <w:color w:val="auto"/>
                      <w:szCs w:val="21"/>
                    </w:rPr>
                  </w:pPr>
                  <w:r>
                    <w:rPr>
                      <w:rFonts w:hAnsi="宋体" w:eastAsia="宋体"/>
                      <w:color w:val="auto"/>
                      <w:szCs w:val="21"/>
                    </w:rPr>
                    <w:t>投资</w:t>
                  </w:r>
                  <w:r>
                    <w:rPr>
                      <w:rFonts w:eastAsia="宋体"/>
                      <w:color w:val="auto"/>
                      <w:szCs w:val="21"/>
                    </w:rPr>
                    <w:t>(</w:t>
                  </w:r>
                  <w:r>
                    <w:rPr>
                      <w:rFonts w:hAnsi="宋体" w:eastAsia="宋体"/>
                      <w:color w:val="auto"/>
                      <w:szCs w:val="21"/>
                    </w:rPr>
                    <w:t>万元</w:t>
                  </w:r>
                  <w:r>
                    <w:rPr>
                      <w:rFonts w:eastAsia="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84" w:hRule="atLeast"/>
                <w:jc w:val="center"/>
              </w:trPr>
              <w:tc>
                <w:tcPr>
                  <w:tcW w:w="979" w:type="dxa"/>
                  <w:vMerge w:val="restart"/>
                  <w:noWrap w:val="0"/>
                  <w:vAlign w:val="center"/>
                </w:tcPr>
                <w:p>
                  <w:pPr>
                    <w:pStyle w:val="185"/>
                    <w:spacing w:line="320" w:lineRule="exact"/>
                    <w:rPr>
                      <w:rFonts w:eastAsia="宋体"/>
                      <w:color w:val="auto"/>
                      <w:szCs w:val="21"/>
                    </w:rPr>
                  </w:pPr>
                  <w:r>
                    <w:rPr>
                      <w:rFonts w:hint="default" w:ascii="Times New Roman" w:hAnsi="Times New Roman" w:eastAsia="宋体" w:cs="Times New Roman"/>
                      <w:color w:val="auto"/>
                      <w:szCs w:val="21"/>
                      <w:lang w:val="en-US"/>
                    </w:rPr>
                    <w:t>1</w:t>
                  </w:r>
                </w:p>
              </w:tc>
              <w:tc>
                <w:tcPr>
                  <w:tcW w:w="1330" w:type="dxa"/>
                  <w:vMerge w:val="restart"/>
                  <w:noWrap w:val="0"/>
                  <w:vAlign w:val="center"/>
                </w:tcPr>
                <w:p>
                  <w:pPr>
                    <w:pStyle w:val="185"/>
                    <w:spacing w:line="320" w:lineRule="exact"/>
                    <w:rPr>
                      <w:rFonts w:eastAsia="宋体"/>
                      <w:color w:val="auto"/>
                      <w:szCs w:val="21"/>
                      <w:lang w:val="en-US"/>
                    </w:rPr>
                  </w:pPr>
                  <w:r>
                    <w:rPr>
                      <w:rFonts w:hAnsi="宋体" w:eastAsia="宋体"/>
                      <w:color w:val="auto"/>
                      <w:szCs w:val="21"/>
                      <w:lang w:val="en-US"/>
                    </w:rPr>
                    <w:t>大气污染</w:t>
                  </w:r>
                </w:p>
              </w:tc>
              <w:tc>
                <w:tcPr>
                  <w:tcW w:w="4912" w:type="dxa"/>
                  <w:noWrap w:val="0"/>
                  <w:vAlign w:val="center"/>
                </w:tcPr>
                <w:p>
                  <w:pPr>
                    <w:pStyle w:val="185"/>
                    <w:spacing w:line="320" w:lineRule="exact"/>
                    <w:rPr>
                      <w:rFonts w:hint="eastAsia" w:eastAsia="宋体"/>
                      <w:color w:val="auto"/>
                      <w:szCs w:val="21"/>
                      <w:lang w:val="en-US" w:eastAsia="zh-CN"/>
                    </w:rPr>
                  </w:pPr>
                  <w:r>
                    <w:rPr>
                      <w:rFonts w:hint="eastAsia" w:hAnsi="宋体" w:eastAsia="宋体"/>
                      <w:color w:val="auto"/>
                      <w:szCs w:val="21"/>
                    </w:rPr>
                    <w:t>搅拌站</w:t>
                  </w:r>
                  <w:r>
                    <w:rPr>
                      <w:rFonts w:hint="eastAsia" w:hAnsi="宋体" w:eastAsia="宋体"/>
                      <w:color w:val="auto"/>
                      <w:szCs w:val="21"/>
                      <w:lang w:eastAsia="zh-CN"/>
                    </w:rPr>
                    <w:t>主体全</w:t>
                  </w:r>
                  <w:r>
                    <w:rPr>
                      <w:rFonts w:hint="eastAsia" w:hAnsi="宋体" w:eastAsia="宋体"/>
                      <w:color w:val="auto"/>
                      <w:szCs w:val="21"/>
                    </w:rPr>
                    <w:t>封闭，每个筒仓设置</w:t>
                  </w:r>
                  <w:r>
                    <w:rPr>
                      <w:rFonts w:hint="default" w:ascii="Times New Roman" w:hAnsi="Times New Roman" w:eastAsia="宋体" w:cs="Times New Roman"/>
                      <w:color w:val="auto"/>
                      <w:szCs w:val="21"/>
                    </w:rPr>
                    <w:t>1</w:t>
                  </w:r>
                  <w:r>
                    <w:rPr>
                      <w:rFonts w:hint="eastAsia" w:hAnsi="宋体" w:eastAsia="宋体"/>
                      <w:color w:val="auto"/>
                      <w:szCs w:val="21"/>
                    </w:rPr>
                    <w:t>台</w:t>
                  </w:r>
                  <w:r>
                    <w:rPr>
                      <w:rFonts w:hAnsi="宋体" w:eastAsia="宋体"/>
                      <w:color w:val="auto"/>
                      <w:szCs w:val="21"/>
                    </w:rPr>
                    <w:t>脉冲反吹除尘器（</w:t>
                  </w:r>
                  <w:r>
                    <w:rPr>
                      <w:rFonts w:hint="eastAsia" w:hAnsi="宋体" w:eastAsia="宋体"/>
                      <w:color w:val="auto"/>
                      <w:szCs w:val="21"/>
                    </w:rPr>
                    <w:t>共</w:t>
                  </w:r>
                  <w:r>
                    <w:rPr>
                      <w:rFonts w:hint="default" w:ascii="Times New Roman" w:hAnsi="Times New Roman" w:eastAsia="宋体" w:cs="Times New Roman"/>
                      <w:color w:val="auto"/>
                      <w:szCs w:val="21"/>
                      <w:lang w:val="en-US" w:eastAsia="zh-CN"/>
                    </w:rPr>
                    <w:t>3</w:t>
                  </w:r>
                  <w:r>
                    <w:rPr>
                      <w:rFonts w:hAnsi="宋体" w:eastAsia="宋体"/>
                      <w:color w:val="auto"/>
                      <w:szCs w:val="21"/>
                    </w:rPr>
                    <w:t>台）</w:t>
                  </w:r>
                  <w:r>
                    <w:rPr>
                      <w:rFonts w:hint="eastAsia" w:hAnsi="宋体" w:eastAsia="宋体"/>
                      <w:color w:val="auto"/>
                      <w:szCs w:val="21"/>
                    </w:rPr>
                    <w:t>，搅拌站设置</w:t>
                  </w:r>
                  <w:r>
                    <w:rPr>
                      <w:rFonts w:hint="default" w:ascii="Times New Roman" w:hAnsi="Times New Roman" w:eastAsia="宋体" w:cs="Times New Roman"/>
                      <w:color w:val="auto"/>
                      <w:szCs w:val="21"/>
                    </w:rPr>
                    <w:t>1</w:t>
                  </w:r>
                  <w:r>
                    <w:rPr>
                      <w:rFonts w:hint="eastAsia" w:hAnsi="宋体" w:eastAsia="宋体"/>
                      <w:color w:val="auto"/>
                      <w:szCs w:val="21"/>
                    </w:rPr>
                    <w:t>台布袋除尘器；</w:t>
                  </w:r>
                </w:p>
              </w:tc>
              <w:tc>
                <w:tcPr>
                  <w:tcW w:w="1284" w:type="dxa"/>
                  <w:noWrap w:val="0"/>
                  <w:vAlign w:val="center"/>
                </w:tcPr>
                <w:p>
                  <w:pPr>
                    <w:pStyle w:val="185"/>
                    <w:spacing w:line="320" w:lineRule="exact"/>
                    <w:rPr>
                      <w:rFonts w:hint="default" w:eastAsia="宋体"/>
                      <w:color w:val="auto"/>
                      <w:szCs w:val="21"/>
                      <w:lang w:val="en-US" w:eastAsia="zh-CN"/>
                    </w:rPr>
                  </w:pPr>
                  <w:r>
                    <w:rPr>
                      <w:rFonts w:hint="eastAsia" w:cs="Times New Roman"/>
                      <w:color w:val="auto"/>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84" w:hRule="atLeast"/>
                <w:jc w:val="center"/>
              </w:trPr>
              <w:tc>
                <w:tcPr>
                  <w:tcW w:w="979" w:type="dxa"/>
                  <w:vMerge w:val="continue"/>
                  <w:noWrap w:val="0"/>
                  <w:vAlign w:val="center"/>
                </w:tcPr>
                <w:p>
                  <w:pPr>
                    <w:pStyle w:val="185"/>
                    <w:spacing w:line="320" w:lineRule="exact"/>
                    <w:rPr>
                      <w:rFonts w:eastAsia="宋体"/>
                      <w:color w:val="auto"/>
                      <w:szCs w:val="21"/>
                      <w:lang w:val="en-US"/>
                    </w:rPr>
                  </w:pPr>
                </w:p>
              </w:tc>
              <w:tc>
                <w:tcPr>
                  <w:tcW w:w="1330" w:type="dxa"/>
                  <w:vMerge w:val="continue"/>
                  <w:noWrap w:val="0"/>
                  <w:vAlign w:val="center"/>
                </w:tcPr>
                <w:p>
                  <w:pPr>
                    <w:pStyle w:val="185"/>
                    <w:spacing w:line="320" w:lineRule="exact"/>
                    <w:rPr>
                      <w:rFonts w:hAnsi="宋体" w:eastAsia="宋体"/>
                      <w:color w:val="auto"/>
                      <w:szCs w:val="21"/>
                      <w:lang w:val="en-US"/>
                    </w:rPr>
                  </w:pPr>
                </w:p>
              </w:tc>
              <w:tc>
                <w:tcPr>
                  <w:tcW w:w="4912" w:type="dxa"/>
                  <w:noWrap w:val="0"/>
                  <w:vAlign w:val="center"/>
                </w:tcPr>
                <w:p>
                  <w:pPr>
                    <w:pStyle w:val="185"/>
                    <w:spacing w:line="320" w:lineRule="exact"/>
                    <w:rPr>
                      <w:rFonts w:hint="eastAsia" w:hAnsi="宋体" w:eastAsia="宋体"/>
                      <w:color w:val="auto"/>
                      <w:szCs w:val="21"/>
                    </w:rPr>
                  </w:pPr>
                  <w:r>
                    <w:rPr>
                      <w:rFonts w:hint="eastAsia" w:hAnsi="宋体" w:eastAsia="宋体"/>
                      <w:color w:val="auto"/>
                      <w:szCs w:val="21"/>
                    </w:rPr>
                    <w:t>原料堆场覆盖防风抑尘网</w:t>
                  </w:r>
                  <w:r>
                    <w:rPr>
                      <w:rFonts w:hint="eastAsia" w:hAnsi="宋体" w:eastAsia="宋体"/>
                      <w:color w:val="auto"/>
                      <w:szCs w:val="21"/>
                      <w:lang w:eastAsia="zh-CN"/>
                    </w:rPr>
                    <w:t>，并设置高压喷雾系统降尘；</w:t>
                  </w:r>
                </w:p>
              </w:tc>
              <w:tc>
                <w:tcPr>
                  <w:tcW w:w="1284" w:type="dxa"/>
                  <w:noWrap w:val="0"/>
                  <w:vAlign w:val="center"/>
                </w:tcPr>
                <w:p>
                  <w:pPr>
                    <w:pStyle w:val="185"/>
                    <w:spacing w:line="320" w:lineRule="exact"/>
                    <w:rPr>
                      <w:rFonts w:hint="default" w:eastAsia="宋体"/>
                      <w:color w:val="auto"/>
                      <w:szCs w:val="21"/>
                      <w:lang w:val="en-US" w:eastAsia="zh-CN"/>
                    </w:rPr>
                  </w:pPr>
                  <w:r>
                    <w:rPr>
                      <w:rFonts w:hint="eastAsia" w:cs="Times New Roman"/>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84" w:hRule="atLeast"/>
                <w:jc w:val="center"/>
              </w:trPr>
              <w:tc>
                <w:tcPr>
                  <w:tcW w:w="979" w:type="dxa"/>
                  <w:vMerge w:val="continue"/>
                  <w:noWrap w:val="0"/>
                  <w:vAlign w:val="center"/>
                </w:tcPr>
                <w:p>
                  <w:pPr>
                    <w:pStyle w:val="185"/>
                    <w:spacing w:line="320" w:lineRule="exact"/>
                    <w:rPr>
                      <w:rFonts w:eastAsia="宋体"/>
                      <w:color w:val="auto"/>
                      <w:szCs w:val="21"/>
                      <w:lang w:val="en-US"/>
                    </w:rPr>
                  </w:pPr>
                </w:p>
              </w:tc>
              <w:tc>
                <w:tcPr>
                  <w:tcW w:w="1330" w:type="dxa"/>
                  <w:vMerge w:val="continue"/>
                  <w:noWrap w:val="0"/>
                  <w:vAlign w:val="center"/>
                </w:tcPr>
                <w:p>
                  <w:pPr>
                    <w:pStyle w:val="185"/>
                    <w:spacing w:line="320" w:lineRule="exact"/>
                    <w:rPr>
                      <w:rFonts w:hAnsi="宋体" w:eastAsia="宋体"/>
                      <w:color w:val="auto"/>
                      <w:szCs w:val="21"/>
                      <w:lang w:val="en-US"/>
                    </w:rPr>
                  </w:pPr>
                </w:p>
              </w:tc>
              <w:tc>
                <w:tcPr>
                  <w:tcW w:w="4912" w:type="dxa"/>
                  <w:noWrap w:val="0"/>
                  <w:vAlign w:val="center"/>
                </w:tcPr>
                <w:p>
                  <w:pPr>
                    <w:pStyle w:val="185"/>
                    <w:spacing w:line="320" w:lineRule="exact"/>
                    <w:rPr>
                      <w:rFonts w:hint="eastAsia" w:hAnsi="宋体" w:eastAsia="宋体"/>
                      <w:color w:val="auto"/>
                      <w:szCs w:val="21"/>
                    </w:rPr>
                  </w:pPr>
                  <w:r>
                    <w:rPr>
                      <w:rFonts w:hint="eastAsia" w:hAnsi="宋体" w:eastAsia="宋体"/>
                      <w:color w:val="auto"/>
                      <w:szCs w:val="21"/>
                      <w:lang w:eastAsia="zh-CN"/>
                    </w:rPr>
                    <w:t>运输车辆全封闭，物料装卸洒水降尘</w:t>
                  </w:r>
                  <w:r>
                    <w:rPr>
                      <w:rFonts w:hint="eastAsia" w:hAnsi="宋体"/>
                      <w:color w:val="auto"/>
                      <w:szCs w:val="21"/>
                      <w:lang w:eastAsia="zh-CN"/>
                    </w:rPr>
                    <w:t>；</w:t>
                  </w:r>
                </w:p>
              </w:tc>
              <w:tc>
                <w:tcPr>
                  <w:tcW w:w="1284" w:type="dxa"/>
                  <w:noWrap w:val="0"/>
                  <w:vAlign w:val="center"/>
                </w:tcPr>
                <w:p>
                  <w:pPr>
                    <w:pStyle w:val="185"/>
                    <w:spacing w:line="320" w:lineRule="exact"/>
                    <w:rPr>
                      <w:rFonts w:hint="default" w:eastAsia="宋体"/>
                      <w:color w:val="auto"/>
                      <w:szCs w:val="21"/>
                      <w:lang w:val="en-US" w:eastAsia="zh-CN"/>
                    </w:rPr>
                  </w:pPr>
                  <w:r>
                    <w:rPr>
                      <w:rFonts w:hint="eastAsia" w:cs="Times New Roman"/>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979" w:type="dxa"/>
                  <w:noWrap w:val="0"/>
                  <w:vAlign w:val="center"/>
                </w:tcPr>
                <w:p>
                  <w:pPr>
                    <w:pStyle w:val="185"/>
                    <w:spacing w:line="320" w:lineRule="exact"/>
                    <w:rPr>
                      <w:rFonts w:eastAsia="宋体"/>
                      <w:color w:val="auto"/>
                      <w:szCs w:val="21"/>
                    </w:rPr>
                  </w:pPr>
                  <w:r>
                    <w:rPr>
                      <w:rFonts w:hint="default" w:ascii="Times New Roman" w:hAnsi="Times New Roman" w:eastAsia="宋体" w:cs="Times New Roman"/>
                      <w:color w:val="auto"/>
                      <w:szCs w:val="21"/>
                      <w:lang w:val="en-US"/>
                    </w:rPr>
                    <w:t>2</w:t>
                  </w:r>
                </w:p>
              </w:tc>
              <w:tc>
                <w:tcPr>
                  <w:tcW w:w="1330" w:type="dxa"/>
                  <w:noWrap w:val="0"/>
                  <w:vAlign w:val="center"/>
                </w:tcPr>
                <w:p>
                  <w:pPr>
                    <w:pStyle w:val="185"/>
                    <w:spacing w:line="320" w:lineRule="exact"/>
                    <w:rPr>
                      <w:rFonts w:eastAsia="宋体"/>
                      <w:color w:val="auto"/>
                      <w:szCs w:val="21"/>
                    </w:rPr>
                  </w:pPr>
                  <w:r>
                    <w:rPr>
                      <w:rFonts w:hAnsi="宋体" w:eastAsia="宋体"/>
                      <w:color w:val="auto"/>
                      <w:szCs w:val="21"/>
                    </w:rPr>
                    <w:t>水污染</w:t>
                  </w:r>
                </w:p>
              </w:tc>
              <w:tc>
                <w:tcPr>
                  <w:tcW w:w="4912" w:type="dxa"/>
                  <w:noWrap w:val="0"/>
                  <w:vAlign w:val="center"/>
                </w:tcPr>
                <w:p>
                  <w:pPr>
                    <w:pStyle w:val="185"/>
                    <w:spacing w:line="320" w:lineRule="exact"/>
                    <w:rPr>
                      <w:rFonts w:hint="eastAsia" w:eastAsia="宋体"/>
                      <w:color w:val="auto"/>
                      <w:szCs w:val="21"/>
                      <w:lang w:eastAsia="zh-CN"/>
                    </w:rPr>
                  </w:pPr>
                  <w:r>
                    <w:rPr>
                      <w:rFonts w:hint="eastAsia" w:hAnsi="宋体" w:eastAsia="宋体"/>
                      <w:color w:val="auto"/>
                      <w:szCs w:val="21"/>
                      <w:lang w:eastAsia="zh-CN"/>
                    </w:rPr>
                    <w:t>生产废水设置</w:t>
                  </w:r>
                  <w:r>
                    <w:rPr>
                      <w:rFonts w:hAnsi="宋体" w:eastAsia="宋体"/>
                      <w:color w:val="auto"/>
                      <w:szCs w:val="21"/>
                    </w:rPr>
                    <w:t>三级沉淀池</w:t>
                  </w:r>
                  <w:r>
                    <w:rPr>
                      <w:rFonts w:hint="eastAsia" w:hAnsi="宋体" w:eastAsia="宋体"/>
                      <w:color w:val="auto"/>
                      <w:szCs w:val="21"/>
                      <w:lang w:eastAsia="zh-CN"/>
                    </w:rPr>
                    <w:t>，生活污水设置防渗旱厕</w:t>
                  </w:r>
                </w:p>
              </w:tc>
              <w:tc>
                <w:tcPr>
                  <w:tcW w:w="1284" w:type="dxa"/>
                  <w:noWrap w:val="0"/>
                  <w:vAlign w:val="center"/>
                </w:tcPr>
                <w:p>
                  <w:pPr>
                    <w:pStyle w:val="185"/>
                    <w:spacing w:line="320" w:lineRule="exact"/>
                    <w:rPr>
                      <w:rFonts w:hint="default" w:eastAsia="宋体"/>
                      <w:color w:val="auto"/>
                      <w:szCs w:val="21"/>
                      <w:lang w:val="en-US" w:eastAsia="zh-CN"/>
                    </w:rPr>
                  </w:pPr>
                  <w:r>
                    <w:rPr>
                      <w:rFonts w:hint="eastAsia"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979" w:type="dxa"/>
                  <w:noWrap w:val="0"/>
                  <w:vAlign w:val="center"/>
                </w:tcPr>
                <w:p>
                  <w:pPr>
                    <w:pStyle w:val="185"/>
                    <w:spacing w:line="320" w:lineRule="exact"/>
                    <w:rPr>
                      <w:rFonts w:eastAsia="宋体"/>
                      <w:color w:val="auto"/>
                      <w:szCs w:val="21"/>
                      <w:lang w:val="en-US"/>
                    </w:rPr>
                  </w:pPr>
                  <w:r>
                    <w:rPr>
                      <w:rFonts w:hint="default" w:ascii="Times New Roman" w:hAnsi="Times New Roman" w:eastAsia="宋体" w:cs="Times New Roman"/>
                      <w:color w:val="auto"/>
                      <w:szCs w:val="21"/>
                      <w:lang w:val="en-US"/>
                    </w:rPr>
                    <w:t>4</w:t>
                  </w:r>
                </w:p>
              </w:tc>
              <w:tc>
                <w:tcPr>
                  <w:tcW w:w="1330" w:type="dxa"/>
                  <w:noWrap w:val="0"/>
                  <w:vAlign w:val="center"/>
                </w:tcPr>
                <w:p>
                  <w:pPr>
                    <w:pStyle w:val="185"/>
                    <w:spacing w:line="320" w:lineRule="exact"/>
                    <w:rPr>
                      <w:rFonts w:hint="eastAsia" w:eastAsia="宋体"/>
                      <w:color w:val="auto"/>
                      <w:szCs w:val="21"/>
                      <w:lang w:val="en-US" w:eastAsia="zh-CN"/>
                    </w:rPr>
                  </w:pPr>
                  <w:r>
                    <w:rPr>
                      <w:rFonts w:hint="eastAsia" w:eastAsia="宋体"/>
                      <w:color w:val="auto"/>
                      <w:szCs w:val="21"/>
                      <w:lang w:val="en-US" w:eastAsia="zh-CN"/>
                    </w:rPr>
                    <w:t>防渗</w:t>
                  </w:r>
                </w:p>
              </w:tc>
              <w:tc>
                <w:tcPr>
                  <w:tcW w:w="4912" w:type="dxa"/>
                  <w:noWrap w:val="0"/>
                  <w:vAlign w:val="center"/>
                </w:tcPr>
                <w:p>
                  <w:pPr>
                    <w:pStyle w:val="185"/>
                    <w:spacing w:line="320" w:lineRule="exact"/>
                    <w:rPr>
                      <w:rFonts w:hAnsi="宋体" w:eastAsia="宋体"/>
                      <w:color w:val="auto"/>
                      <w:szCs w:val="21"/>
                    </w:rPr>
                  </w:pPr>
                  <w:r>
                    <w:rPr>
                      <w:rFonts w:hAnsi="宋体" w:eastAsia="宋体"/>
                      <w:color w:val="auto"/>
                      <w:szCs w:val="21"/>
                    </w:rPr>
                    <w:t>厂区</w:t>
                  </w:r>
                  <w:r>
                    <w:rPr>
                      <w:rFonts w:hint="eastAsia" w:hAnsi="宋体" w:eastAsia="宋体"/>
                      <w:color w:val="auto"/>
                      <w:szCs w:val="21"/>
                      <w:lang w:eastAsia="zh-CN"/>
                    </w:rPr>
                    <w:t>一般</w:t>
                  </w:r>
                  <w:r>
                    <w:rPr>
                      <w:rFonts w:hAnsi="宋体" w:eastAsia="宋体"/>
                      <w:color w:val="auto"/>
                      <w:szCs w:val="21"/>
                    </w:rPr>
                    <w:t>地面硬化</w:t>
                  </w:r>
                </w:p>
              </w:tc>
              <w:tc>
                <w:tcPr>
                  <w:tcW w:w="1284" w:type="dxa"/>
                  <w:noWrap w:val="0"/>
                  <w:vAlign w:val="center"/>
                </w:tcPr>
                <w:p>
                  <w:pPr>
                    <w:pStyle w:val="185"/>
                    <w:spacing w:line="320" w:lineRule="exact"/>
                    <w:rPr>
                      <w:rFonts w:hint="default" w:eastAsia="宋体"/>
                      <w:color w:val="auto"/>
                      <w:szCs w:val="21"/>
                      <w:lang w:val="en-US" w:eastAsia="zh-CN"/>
                    </w:rPr>
                  </w:pPr>
                  <w:r>
                    <w:rPr>
                      <w:rFonts w:hint="eastAsia" w:cs="Times New Roman"/>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9" w:type="dxa"/>
                  <w:noWrap w:val="0"/>
                  <w:vAlign w:val="center"/>
                </w:tcPr>
                <w:p>
                  <w:pPr>
                    <w:pStyle w:val="185"/>
                    <w:spacing w:line="320" w:lineRule="exact"/>
                    <w:rPr>
                      <w:rFonts w:eastAsia="宋体"/>
                      <w:color w:val="auto"/>
                      <w:szCs w:val="21"/>
                    </w:rPr>
                  </w:pPr>
                  <w:r>
                    <w:rPr>
                      <w:rFonts w:hint="default" w:ascii="Times New Roman" w:hAnsi="Times New Roman" w:eastAsia="宋体" w:cs="Times New Roman"/>
                      <w:color w:val="auto"/>
                      <w:szCs w:val="21"/>
                      <w:lang w:val="en-US"/>
                    </w:rPr>
                    <w:t>5</w:t>
                  </w:r>
                </w:p>
              </w:tc>
              <w:tc>
                <w:tcPr>
                  <w:tcW w:w="1330" w:type="dxa"/>
                  <w:noWrap w:val="0"/>
                  <w:vAlign w:val="center"/>
                </w:tcPr>
                <w:p>
                  <w:pPr>
                    <w:pStyle w:val="185"/>
                    <w:spacing w:line="320" w:lineRule="exact"/>
                    <w:rPr>
                      <w:rFonts w:eastAsia="宋体"/>
                      <w:color w:val="auto"/>
                      <w:szCs w:val="21"/>
                    </w:rPr>
                  </w:pPr>
                  <w:r>
                    <w:rPr>
                      <w:rFonts w:hAnsi="宋体" w:eastAsia="宋体"/>
                      <w:color w:val="auto"/>
                      <w:szCs w:val="21"/>
                      <w:lang w:val="en-US"/>
                    </w:rPr>
                    <w:t>噪声</w:t>
                  </w:r>
                </w:p>
              </w:tc>
              <w:tc>
                <w:tcPr>
                  <w:tcW w:w="4912" w:type="dxa"/>
                  <w:noWrap w:val="0"/>
                  <w:vAlign w:val="center"/>
                </w:tcPr>
                <w:p>
                  <w:pPr>
                    <w:pStyle w:val="185"/>
                    <w:spacing w:line="320" w:lineRule="exact"/>
                    <w:rPr>
                      <w:rFonts w:eastAsia="宋体"/>
                      <w:color w:val="auto"/>
                      <w:szCs w:val="21"/>
                    </w:rPr>
                  </w:pPr>
                  <w:r>
                    <w:rPr>
                      <w:rFonts w:hAnsi="宋体" w:eastAsia="宋体"/>
                      <w:color w:val="auto"/>
                      <w:szCs w:val="21"/>
                      <w:lang w:val="en-US"/>
                    </w:rPr>
                    <w:t>减振、隔声</w:t>
                  </w:r>
                </w:p>
              </w:tc>
              <w:tc>
                <w:tcPr>
                  <w:tcW w:w="1284" w:type="dxa"/>
                  <w:noWrap w:val="0"/>
                  <w:vAlign w:val="center"/>
                </w:tcPr>
                <w:p>
                  <w:pPr>
                    <w:pStyle w:val="185"/>
                    <w:spacing w:line="320" w:lineRule="exact"/>
                    <w:rPr>
                      <w:rFonts w:hint="default" w:eastAsia="宋体"/>
                      <w:color w:val="auto"/>
                      <w:szCs w:val="21"/>
                      <w:lang w:val="en-US" w:eastAsia="zh-CN"/>
                    </w:rPr>
                  </w:pPr>
                  <w:r>
                    <w:rPr>
                      <w:rFonts w:hint="eastAsia"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9" w:type="dxa"/>
                  <w:noWrap w:val="0"/>
                  <w:vAlign w:val="center"/>
                </w:tcPr>
                <w:p>
                  <w:pPr>
                    <w:pStyle w:val="185"/>
                    <w:spacing w:line="320" w:lineRule="exact"/>
                    <w:rPr>
                      <w:rFonts w:eastAsia="宋体"/>
                      <w:color w:val="auto"/>
                      <w:szCs w:val="21"/>
                    </w:rPr>
                  </w:pPr>
                  <w:r>
                    <w:rPr>
                      <w:rFonts w:hint="default" w:ascii="Times New Roman" w:hAnsi="Times New Roman" w:eastAsia="宋体" w:cs="Times New Roman"/>
                      <w:color w:val="auto"/>
                      <w:szCs w:val="21"/>
                      <w:lang w:val="en-US"/>
                    </w:rPr>
                    <w:t>6</w:t>
                  </w:r>
                </w:p>
              </w:tc>
              <w:tc>
                <w:tcPr>
                  <w:tcW w:w="1330" w:type="dxa"/>
                  <w:noWrap w:val="0"/>
                  <w:vAlign w:val="center"/>
                </w:tcPr>
                <w:p>
                  <w:pPr>
                    <w:pStyle w:val="185"/>
                    <w:spacing w:line="320" w:lineRule="exact"/>
                    <w:rPr>
                      <w:rFonts w:eastAsia="宋体"/>
                      <w:color w:val="auto"/>
                      <w:szCs w:val="21"/>
                    </w:rPr>
                  </w:pPr>
                  <w:r>
                    <w:rPr>
                      <w:rFonts w:hAnsi="宋体" w:eastAsia="宋体"/>
                      <w:color w:val="auto"/>
                      <w:szCs w:val="21"/>
                      <w:lang w:val="en-US"/>
                    </w:rPr>
                    <w:t>固体废物</w:t>
                  </w:r>
                </w:p>
              </w:tc>
              <w:tc>
                <w:tcPr>
                  <w:tcW w:w="4912" w:type="dxa"/>
                  <w:noWrap w:val="0"/>
                  <w:vAlign w:val="center"/>
                </w:tcPr>
                <w:p>
                  <w:pPr>
                    <w:pStyle w:val="185"/>
                    <w:spacing w:line="320" w:lineRule="exact"/>
                    <w:rPr>
                      <w:rFonts w:eastAsia="宋体"/>
                      <w:color w:val="auto"/>
                      <w:szCs w:val="21"/>
                    </w:rPr>
                  </w:pPr>
                  <w:r>
                    <w:rPr>
                      <w:rFonts w:hAnsi="宋体" w:eastAsia="宋体"/>
                      <w:color w:val="auto"/>
                      <w:szCs w:val="21"/>
                    </w:rPr>
                    <w:t>垃圾收集装置</w:t>
                  </w:r>
                </w:p>
              </w:tc>
              <w:tc>
                <w:tcPr>
                  <w:tcW w:w="1284" w:type="dxa"/>
                  <w:noWrap w:val="0"/>
                  <w:vAlign w:val="center"/>
                </w:tcPr>
                <w:p>
                  <w:pPr>
                    <w:pStyle w:val="185"/>
                    <w:spacing w:line="320" w:lineRule="exact"/>
                    <w:rPr>
                      <w:rFonts w:hint="default" w:eastAsia="宋体"/>
                      <w:color w:val="auto"/>
                      <w:szCs w:val="21"/>
                      <w:lang w:val="en-US" w:eastAsia="zh-CN"/>
                    </w:rPr>
                  </w:pPr>
                  <w:r>
                    <w:rPr>
                      <w:rFonts w:hint="eastAsia"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9" w:type="dxa"/>
                  <w:noWrap w:val="0"/>
                  <w:vAlign w:val="center"/>
                </w:tcPr>
                <w:p>
                  <w:pPr>
                    <w:pStyle w:val="185"/>
                    <w:spacing w:line="320" w:lineRule="exact"/>
                    <w:rPr>
                      <w:rFonts w:eastAsia="宋体"/>
                      <w:color w:val="auto"/>
                      <w:szCs w:val="21"/>
                      <w:lang w:val="en-US"/>
                    </w:rPr>
                  </w:pPr>
                  <w:r>
                    <w:rPr>
                      <w:rFonts w:hint="default" w:ascii="Times New Roman" w:hAnsi="Times New Roman" w:eastAsia="宋体" w:cs="Times New Roman"/>
                      <w:color w:val="auto"/>
                      <w:kern w:val="0"/>
                      <w:szCs w:val="21"/>
                      <w:lang w:val="en-US"/>
                    </w:rPr>
                    <w:t>7</w:t>
                  </w:r>
                </w:p>
              </w:tc>
              <w:tc>
                <w:tcPr>
                  <w:tcW w:w="6242" w:type="dxa"/>
                  <w:gridSpan w:val="2"/>
                  <w:noWrap w:val="0"/>
                  <w:vAlign w:val="center"/>
                </w:tcPr>
                <w:p>
                  <w:pPr>
                    <w:pStyle w:val="185"/>
                    <w:spacing w:line="320" w:lineRule="exact"/>
                    <w:rPr>
                      <w:rFonts w:eastAsia="宋体"/>
                      <w:color w:val="auto"/>
                      <w:szCs w:val="21"/>
                    </w:rPr>
                  </w:pPr>
                  <w:r>
                    <w:rPr>
                      <w:rFonts w:hAnsi="宋体" w:eastAsia="宋体"/>
                      <w:color w:val="auto"/>
                      <w:szCs w:val="21"/>
                      <w:lang w:val="en-US"/>
                    </w:rPr>
                    <w:t>环保设施运行维护费用</w:t>
                  </w:r>
                </w:p>
              </w:tc>
              <w:tc>
                <w:tcPr>
                  <w:tcW w:w="1284" w:type="dxa"/>
                  <w:noWrap w:val="0"/>
                  <w:vAlign w:val="center"/>
                </w:tcPr>
                <w:p>
                  <w:pPr>
                    <w:pStyle w:val="185"/>
                    <w:spacing w:line="320" w:lineRule="exact"/>
                    <w:rPr>
                      <w:rFonts w:hint="default" w:eastAsia="宋体"/>
                      <w:color w:val="auto"/>
                      <w:szCs w:val="21"/>
                      <w:lang w:val="en-US" w:eastAsia="zh-CN"/>
                    </w:rPr>
                  </w:pPr>
                  <w:r>
                    <w:rPr>
                      <w:rFonts w:hint="eastAsia"/>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9" w:type="dxa"/>
                  <w:noWrap w:val="0"/>
                  <w:vAlign w:val="center"/>
                </w:tcPr>
                <w:p>
                  <w:pPr>
                    <w:pStyle w:val="185"/>
                    <w:spacing w:line="320" w:lineRule="exact"/>
                    <w:rPr>
                      <w:rFonts w:hint="eastAsia" w:eastAsia="宋体"/>
                      <w:color w:val="auto"/>
                      <w:kern w:val="0"/>
                      <w:szCs w:val="21"/>
                      <w:lang w:val="en-US" w:eastAsia="zh-CN"/>
                    </w:rPr>
                  </w:pPr>
                  <w:r>
                    <w:rPr>
                      <w:rFonts w:hint="default" w:ascii="Times New Roman" w:hAnsi="Times New Roman" w:cs="Times New Roman"/>
                      <w:color w:val="auto"/>
                      <w:kern w:val="0"/>
                      <w:szCs w:val="21"/>
                      <w:lang w:val="en-US" w:eastAsia="zh-CN"/>
                    </w:rPr>
                    <w:t>8</w:t>
                  </w:r>
                </w:p>
              </w:tc>
              <w:tc>
                <w:tcPr>
                  <w:tcW w:w="6242" w:type="dxa"/>
                  <w:gridSpan w:val="2"/>
                  <w:noWrap w:val="0"/>
                  <w:vAlign w:val="center"/>
                </w:tcPr>
                <w:p>
                  <w:pPr>
                    <w:pStyle w:val="185"/>
                    <w:spacing w:line="320" w:lineRule="exact"/>
                    <w:rPr>
                      <w:rFonts w:hAnsi="宋体" w:eastAsia="宋体"/>
                      <w:color w:val="auto"/>
                      <w:szCs w:val="21"/>
                      <w:lang w:val="en-US"/>
                    </w:rPr>
                  </w:pPr>
                  <w:r>
                    <w:rPr>
                      <w:rFonts w:hint="eastAsia" w:hAnsi="宋体" w:eastAsia="宋体"/>
                      <w:color w:val="auto"/>
                      <w:szCs w:val="21"/>
                      <w:lang w:val="en-US" w:eastAsia="zh-CN"/>
                    </w:rPr>
                    <w:t>环境管理及监测</w:t>
                  </w:r>
                </w:p>
              </w:tc>
              <w:tc>
                <w:tcPr>
                  <w:tcW w:w="1284" w:type="dxa"/>
                  <w:noWrap w:val="0"/>
                  <w:vAlign w:val="center"/>
                </w:tcPr>
                <w:p>
                  <w:pPr>
                    <w:pStyle w:val="185"/>
                    <w:spacing w:line="320" w:lineRule="exact"/>
                    <w:rPr>
                      <w:rFonts w:hint="default" w:eastAsia="宋体"/>
                      <w:color w:val="auto"/>
                      <w:szCs w:val="21"/>
                      <w:lang w:val="en-US" w:eastAsia="zh-CN"/>
                    </w:rPr>
                  </w:pPr>
                  <w:r>
                    <w:rPr>
                      <w:rFonts w:hint="eastAsia"/>
                      <w:color w:val="auto"/>
                      <w:szCs w:val="21"/>
                      <w:lang w:val="en-US" w:eastAsia="zh-CN"/>
                    </w:rPr>
                    <w:t>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9" w:type="dxa"/>
                  <w:noWrap w:val="0"/>
                  <w:vAlign w:val="center"/>
                </w:tcPr>
                <w:p>
                  <w:pPr>
                    <w:pStyle w:val="185"/>
                    <w:spacing w:line="320" w:lineRule="exact"/>
                    <w:rPr>
                      <w:rFonts w:hint="eastAsia" w:eastAsia="宋体"/>
                      <w:color w:val="auto"/>
                      <w:kern w:val="0"/>
                      <w:szCs w:val="21"/>
                      <w:lang w:eastAsia="zh-CN"/>
                    </w:rPr>
                  </w:pPr>
                  <w:r>
                    <w:rPr>
                      <w:rFonts w:hint="default" w:ascii="Times New Roman" w:hAnsi="Times New Roman" w:cs="Times New Roman"/>
                      <w:color w:val="auto"/>
                      <w:kern w:val="0"/>
                      <w:szCs w:val="21"/>
                      <w:lang w:val="en-US" w:eastAsia="zh-CN"/>
                    </w:rPr>
                    <w:t>9</w:t>
                  </w:r>
                </w:p>
              </w:tc>
              <w:tc>
                <w:tcPr>
                  <w:tcW w:w="6242" w:type="dxa"/>
                  <w:gridSpan w:val="2"/>
                  <w:noWrap w:val="0"/>
                  <w:vAlign w:val="center"/>
                </w:tcPr>
                <w:p>
                  <w:pPr>
                    <w:pStyle w:val="185"/>
                    <w:spacing w:line="320" w:lineRule="exact"/>
                    <w:rPr>
                      <w:rFonts w:eastAsia="宋体"/>
                      <w:color w:val="auto"/>
                      <w:kern w:val="0"/>
                      <w:szCs w:val="21"/>
                    </w:rPr>
                  </w:pPr>
                  <w:r>
                    <w:rPr>
                      <w:rFonts w:hAnsi="宋体" w:eastAsia="宋体"/>
                      <w:color w:val="auto"/>
                      <w:kern w:val="0"/>
                      <w:szCs w:val="21"/>
                    </w:rPr>
                    <w:t>总计</w:t>
                  </w:r>
                </w:p>
              </w:tc>
              <w:tc>
                <w:tcPr>
                  <w:tcW w:w="1284" w:type="dxa"/>
                  <w:noWrap w:val="0"/>
                  <w:vAlign w:val="center"/>
                </w:tcPr>
                <w:p>
                  <w:pPr>
                    <w:pStyle w:val="185"/>
                    <w:spacing w:line="320" w:lineRule="exact"/>
                    <w:rPr>
                      <w:rFonts w:hint="default" w:eastAsia="宋体"/>
                      <w:color w:val="auto"/>
                      <w:szCs w:val="21"/>
                      <w:lang w:val="en-US"/>
                    </w:rPr>
                  </w:pPr>
                  <w:r>
                    <w:rPr>
                      <w:rFonts w:hint="eastAsia" w:cs="Times New Roman"/>
                      <w:color w:val="auto"/>
                      <w:szCs w:val="21"/>
                      <w:lang w:val="en-US" w:eastAsia="zh-CN"/>
                    </w:rPr>
                    <w:t>21.63</w:t>
                  </w:r>
                </w:p>
              </w:tc>
            </w:tr>
          </w:tbl>
          <w:p>
            <w:pPr>
              <w:adjustRightInd w:val="0"/>
              <w:snapToGrid w:val="0"/>
              <w:spacing w:line="360" w:lineRule="auto"/>
              <w:rPr>
                <w:color w:val="auto"/>
                <w:sz w:val="24"/>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866" w:hRule="atLeast"/>
          <w:jc w:val="center"/>
        </w:trPr>
        <w:tc>
          <w:tcPr>
            <w:tcW w:w="877" w:type="dxa"/>
            <w:vAlign w:val="center"/>
          </w:tcPr>
          <w:p>
            <w:pPr>
              <w:pStyle w:val="28"/>
              <w:adjustRightInd w:val="0"/>
              <w:snapToGrid w:val="0"/>
              <w:spacing w:before="0" w:beforeAutospacing="0" w:after="0" w:afterAutospacing="0"/>
              <w:jc w:val="center"/>
              <w:rPr>
                <w:rFonts w:ascii="Times New Roman" w:hAnsi="Times New Roman"/>
                <w:b/>
                <w:bCs/>
                <w:color w:val="auto"/>
                <w:szCs w:val="24"/>
                <w:highlight w:val="none"/>
              </w:rPr>
            </w:pPr>
            <w:r>
              <w:rPr>
                <w:rFonts w:ascii="Times New Roman" w:hAnsi="Times New Roman" w:eastAsia="宋体" w:cs="Times New Roman"/>
                <w:b/>
                <w:color w:val="auto"/>
                <w:kern w:val="2"/>
                <w:szCs w:val="24"/>
                <w:highlight w:val="none"/>
              </w:rPr>
              <w:t>工艺流程和产排污环节</w:t>
            </w:r>
          </w:p>
        </w:tc>
        <w:tc>
          <w:tcPr>
            <w:tcW w:w="8477" w:type="dxa"/>
          </w:tcPr>
          <w:p>
            <w:pPr>
              <w:spacing w:line="360" w:lineRule="auto"/>
              <w:rPr>
                <w:b/>
                <w:color w:val="auto"/>
                <w:sz w:val="24"/>
                <w:highlight w:val="none"/>
              </w:rPr>
            </w:pPr>
            <w:r>
              <w:rPr>
                <w:b/>
                <w:color w:val="auto"/>
                <w:sz w:val="24"/>
                <w:highlight w:val="none"/>
              </w:rPr>
              <w:t>工艺流程及污染工艺流程简述：</w:t>
            </w:r>
          </w:p>
          <w:p>
            <w:pPr>
              <w:numPr>
                <w:ilvl w:val="0"/>
                <w:numId w:val="2"/>
              </w:numPr>
              <w:spacing w:line="360" w:lineRule="auto"/>
              <w:rPr>
                <w:rFonts w:hint="eastAsia"/>
                <w:b/>
                <w:color w:val="auto"/>
                <w:sz w:val="24"/>
                <w:highlight w:val="none"/>
                <w:lang w:val="en-US" w:eastAsia="zh-CN"/>
              </w:rPr>
            </w:pPr>
            <w:r>
              <w:rPr>
                <w:rFonts w:hint="eastAsia"/>
                <w:b/>
                <w:color w:val="auto"/>
                <w:sz w:val="24"/>
                <w:highlight w:val="none"/>
                <w:lang w:val="en-US" w:eastAsia="zh-CN"/>
              </w:rPr>
              <w:t>施工期</w:t>
            </w:r>
          </w:p>
          <w:p>
            <w:pPr>
              <w:spacing w:line="360" w:lineRule="auto"/>
              <w:ind w:firstLine="480" w:firstLineChars="200"/>
              <w:rPr>
                <w:snapToGrid w:val="0"/>
                <w:color w:val="auto"/>
                <w:kern w:val="0"/>
                <w:sz w:val="24"/>
                <w:highlight w:val="none"/>
              </w:rPr>
            </w:pPr>
            <w:r>
              <w:rPr>
                <w:rFonts w:hint="eastAsia"/>
                <w:snapToGrid w:val="0"/>
                <w:color w:val="auto"/>
                <w:kern w:val="0"/>
                <w:sz w:val="24"/>
                <w:highlight w:val="none"/>
                <w:lang w:val="en-US" w:eastAsia="zh-CN"/>
              </w:rPr>
              <w:t>本项目为已建成项目。</w:t>
            </w:r>
          </w:p>
          <w:p>
            <w:pPr>
              <w:spacing w:line="360" w:lineRule="auto"/>
              <w:rPr>
                <w:b/>
                <w:color w:val="auto"/>
                <w:sz w:val="24"/>
                <w:highlight w:val="none"/>
              </w:rPr>
            </w:pPr>
            <w:r>
              <w:rPr>
                <w:rFonts w:hint="eastAsia"/>
                <w:b/>
                <w:color w:val="auto"/>
                <w:sz w:val="24"/>
                <w:highlight w:val="none"/>
                <w:lang w:val="en-US" w:eastAsia="zh-CN"/>
              </w:rPr>
              <w:t>二</w:t>
            </w:r>
            <w:r>
              <w:rPr>
                <w:b/>
                <w:color w:val="auto"/>
                <w:sz w:val="24"/>
                <w:highlight w:val="none"/>
              </w:rPr>
              <w:t>、营运期</w:t>
            </w:r>
          </w:p>
          <w:p>
            <w:pPr>
              <w:spacing w:line="360" w:lineRule="auto"/>
              <w:ind w:firstLine="482" w:firstLineChars="200"/>
              <w:rPr>
                <w:b/>
                <w:bCs/>
                <w:color w:val="auto"/>
                <w:sz w:val="24"/>
                <w:highlight w:val="none"/>
              </w:rPr>
            </w:pPr>
            <w:r>
              <w:rPr>
                <w:b/>
                <w:bCs/>
                <w:color w:val="auto"/>
                <w:sz w:val="24"/>
                <w:highlight w:val="none"/>
              </w:rPr>
              <w:t>（一）工艺流程图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bCs/>
                <w:color w:val="auto"/>
                <w:sz w:val="24"/>
                <w:highlight w:val="none"/>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"https://ts1.tc.mm.bing.net/th/id/R-C.6ccb5c254b7f4423771c840af64e0889?rik=BPpWjy0rhoOv3Q&amp;riu=http://www.ebjbj.com/uploads/160315/7-160315095105U6.png&amp;ehk=jxBHJt9dV5hvIEFKw/GK+6JZmK1kqKIquSGm6YchUxk=&amp;risl=&amp;pid=ImgRaw&amp;r=0"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029835" cy="4394200"/>
                  <wp:effectExtent l="0" t="0" r="18415" b="6350"/>
                  <wp:docPr id="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56"/>
                          <pic:cNvPicPr>
                            <a:picLocks noChangeAspect="1"/>
                          </pic:cNvPicPr>
                        </pic:nvPicPr>
                        <pic:blipFill>
                          <a:blip r:embed="rId17"/>
                          <a:stretch>
                            <a:fillRect/>
                          </a:stretch>
                        </pic:blipFill>
                        <pic:spPr>
                          <a:xfrm>
                            <a:off x="0" y="0"/>
                            <a:ext cx="5029835" cy="4394200"/>
                          </a:xfrm>
                          <a:prstGeom prst="rect">
                            <a:avLst/>
                          </a:prstGeom>
                          <a:noFill/>
                          <a:ln>
                            <a:noFill/>
                          </a:ln>
                        </pic:spPr>
                      </pic:pic>
                    </a:graphicData>
                  </a:graphic>
                </wp:inline>
              </w:drawing>
            </w:r>
            <w:r>
              <w:rPr>
                <w:rFonts w:ascii="宋体" w:hAnsi="宋体" w:eastAsia="宋体" w:cs="宋体"/>
                <w:sz w:val="24"/>
                <w:szCs w:val="24"/>
              </w:rPr>
              <w:fldChar w:fldCharType="end"/>
            </w:r>
          </w:p>
          <w:p>
            <w:pPr>
              <w:pStyle w:val="73"/>
              <w:spacing w:line="360" w:lineRule="auto"/>
              <w:ind w:firstLine="426"/>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图2-</w:t>
            </w:r>
            <w:r>
              <w:rPr>
                <w:rFonts w:hint="default" w:ascii="Times New Roman" w:hAnsi="Times New Roman" w:cs="Times New Roman"/>
                <w:b/>
                <w:bCs/>
                <w:color w:val="auto"/>
                <w:sz w:val="24"/>
                <w:szCs w:val="24"/>
                <w:highlight w:val="none"/>
                <w:lang w:val="en-US" w:eastAsia="zh-CN"/>
              </w:rPr>
              <w:t xml:space="preserve">3 </w:t>
            </w:r>
            <w:r>
              <w:rPr>
                <w:rFonts w:hint="default" w:ascii="Times New Roman" w:hAnsi="Times New Roman" w:cs="Times New Roman"/>
                <w:b/>
                <w:bCs/>
                <w:color w:val="auto"/>
                <w:sz w:val="24"/>
                <w:szCs w:val="24"/>
                <w:highlight w:val="none"/>
              </w:rPr>
              <w:t>本项目工艺流程图及产污环节图</w:t>
            </w:r>
          </w:p>
          <w:p>
            <w:pPr>
              <w:spacing w:line="360" w:lineRule="auto"/>
              <w:ind w:firstLine="482" w:firstLineChars="200"/>
              <w:rPr>
                <w:bCs/>
                <w:color w:val="auto"/>
                <w:spacing w:val="0"/>
                <w:sz w:val="24"/>
                <w:highlight w:val="none"/>
              </w:rPr>
            </w:pPr>
            <w:r>
              <w:rPr>
                <w:b/>
                <w:color w:val="auto"/>
                <w:spacing w:val="0"/>
                <w:sz w:val="24"/>
                <w:highlight w:val="none"/>
              </w:rPr>
              <w:t>（二）工艺流程简述</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原料进厂</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项目所需原料</w:t>
            </w:r>
            <w:r>
              <w:rPr>
                <w:rFonts w:hint="eastAsia" w:ascii="Times New Roman" w:hAnsi="Times New Roman" w:eastAsia="宋体" w:cs="Times New Roman"/>
                <w:color w:val="auto"/>
                <w:sz w:val="24"/>
                <w:szCs w:val="24"/>
                <w:lang w:val="en-US" w:eastAsia="zh-CN"/>
              </w:rPr>
              <w:t>均为</w:t>
            </w:r>
            <w:r>
              <w:rPr>
                <w:rFonts w:hint="default" w:ascii="Times New Roman" w:hAnsi="Times New Roman" w:eastAsia="宋体" w:cs="Times New Roman"/>
                <w:color w:val="auto"/>
                <w:sz w:val="24"/>
                <w:szCs w:val="24"/>
              </w:rPr>
              <w:t>外购，各厂商提供样品，</w:t>
            </w:r>
            <w:r>
              <w:rPr>
                <w:rFonts w:hint="eastAsia" w:ascii="Times New Roman" w:hAnsi="Times New Roman" w:eastAsia="宋体" w:cs="Times New Roman"/>
                <w:color w:val="auto"/>
                <w:sz w:val="24"/>
                <w:szCs w:val="24"/>
                <w:lang w:val="en-US" w:eastAsia="zh-CN"/>
              </w:rPr>
              <w:t>且</w:t>
            </w:r>
            <w:r>
              <w:rPr>
                <w:rFonts w:hint="default" w:ascii="Times New Roman" w:hAnsi="Times New Roman" w:eastAsia="宋体" w:cs="Times New Roman"/>
                <w:color w:val="auto"/>
                <w:sz w:val="24"/>
                <w:szCs w:val="24"/>
              </w:rPr>
              <w:t>对所提供样品进行预配比试配，测定强度性能，选择原辅料间最佳配比，由采购组按量进行原料采购。</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沙石用铲车装入半封闭料仓，由封闭皮带输送到预载斗，然后进入彩钢封闭的搅拌机里。水泥和粉煤灰由管道螺旋输送机进入水泥粉煤灰封闭的计量称，再进入搅拌机系统。减水剂和水由管道输送到搅拌机里。采购回的原材料进行质量检验</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只对原料进行物理性质检验，化学性质检验外委</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且检验</w:t>
            </w:r>
            <w:r>
              <w:rPr>
                <w:rFonts w:hint="default" w:ascii="Times New Roman" w:hAnsi="Times New Roman" w:eastAsia="宋体" w:cs="Times New Roman"/>
                <w:color w:val="auto"/>
                <w:sz w:val="24"/>
                <w:szCs w:val="24"/>
              </w:rPr>
              <w:t>合格后，砂、碎石堆存在指定堆场；水泥</w:t>
            </w:r>
            <w:r>
              <w:rPr>
                <w:rFonts w:hint="eastAsia" w:ascii="Times New Roman" w:hAnsi="Times New Roman" w:eastAsia="宋体" w:cs="Times New Roman"/>
                <w:color w:val="auto"/>
                <w:sz w:val="24"/>
                <w:szCs w:val="24"/>
                <w:lang w:val="en-US" w:eastAsia="zh-CN"/>
              </w:rPr>
              <w:t>和粉煤灰分别</w:t>
            </w:r>
            <w:r>
              <w:rPr>
                <w:rFonts w:hint="default" w:ascii="Times New Roman" w:hAnsi="Times New Roman" w:eastAsia="宋体" w:cs="Times New Roman"/>
                <w:color w:val="auto"/>
                <w:sz w:val="24"/>
                <w:szCs w:val="24"/>
              </w:rPr>
              <w:t>加入相应的存储筒仓</w:t>
            </w:r>
            <w:r>
              <w:rPr>
                <w:rFonts w:hint="eastAsia" w:ascii="Times New Roman" w:hAnsi="Times New Roman" w:eastAsia="宋体" w:cs="Times New Roman"/>
                <w:color w:val="auto"/>
                <w:sz w:val="24"/>
                <w:szCs w:val="24"/>
                <w:lang w:val="en-US" w:eastAsia="zh-CN"/>
              </w:rPr>
              <w:t>内</w:t>
            </w:r>
            <w:r>
              <w:rPr>
                <w:rFonts w:hint="default" w:ascii="Times New Roman" w:hAnsi="Times New Roman" w:eastAsia="宋体" w:cs="Times New Roman"/>
                <w:color w:val="auto"/>
                <w:sz w:val="24"/>
                <w:szCs w:val="24"/>
              </w:rPr>
              <w:t>；外加剂为脂肪族减水剂，</w:t>
            </w:r>
            <w:r>
              <w:rPr>
                <w:rFonts w:hint="eastAsia" w:ascii="Times New Roman" w:hAnsi="Times New Roman" w:eastAsia="宋体" w:cs="Times New Roman"/>
                <w:color w:val="auto"/>
                <w:sz w:val="24"/>
                <w:szCs w:val="24"/>
                <w:lang w:val="en-US" w:eastAsia="zh-CN"/>
              </w:rPr>
              <w:t>是</w:t>
            </w:r>
            <w:r>
              <w:rPr>
                <w:rFonts w:hint="default" w:ascii="Times New Roman" w:hAnsi="Times New Roman" w:eastAsia="宋体" w:cs="Times New Roman"/>
                <w:color w:val="auto"/>
                <w:sz w:val="24"/>
                <w:szCs w:val="24"/>
              </w:rPr>
              <w:t>国家认可的、各混凝土搅拌站通用的外加剂，配制后加入外加剂</w:t>
            </w:r>
            <w:r>
              <w:rPr>
                <w:rFonts w:hint="eastAsia" w:ascii="Times New Roman" w:hAnsi="Times New Roman" w:eastAsia="宋体" w:cs="Times New Roman"/>
                <w:color w:val="auto"/>
                <w:sz w:val="24"/>
                <w:szCs w:val="24"/>
                <w:lang w:val="en-US" w:eastAsia="zh-CN"/>
              </w:rPr>
              <w:t>储罐</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水泥单车最大运输量按</w:t>
            </w:r>
            <w:r>
              <w:rPr>
                <w:rFonts w:hint="default" w:ascii="Times New Roman" w:hAnsi="Times New Roman" w:eastAsia="宋体" w:cs="Times New Roman"/>
                <w:color w:val="auto"/>
                <w:kern w:val="0"/>
                <w:sz w:val="24"/>
                <w:szCs w:val="24"/>
                <w:highlight w:val="none"/>
                <w:lang w:val="en-US" w:eastAsia="zh-CN" w:bidi="ar"/>
              </w:rPr>
              <w:t>30t/</w:t>
            </w:r>
            <w:r>
              <w:rPr>
                <w:rFonts w:hint="eastAsia" w:ascii="Times New Roman" w:hAnsi="Times New Roman" w:eastAsia="宋体" w:cs="Times New Roman"/>
                <w:color w:val="auto"/>
                <w:kern w:val="0"/>
                <w:sz w:val="24"/>
                <w:szCs w:val="24"/>
                <w:highlight w:val="none"/>
                <w:lang w:val="en-US" w:eastAsia="zh-CN" w:bidi="ar"/>
              </w:rPr>
              <w:t>车，每车充装时间为</w:t>
            </w:r>
            <w:r>
              <w:rPr>
                <w:rFonts w:hint="default" w:ascii="Times New Roman" w:hAnsi="Times New Roman" w:eastAsia="宋体" w:cs="Times New Roman"/>
                <w:color w:val="auto"/>
                <w:kern w:val="0"/>
                <w:sz w:val="24"/>
                <w:szCs w:val="24"/>
                <w:highlight w:val="none"/>
                <w:lang w:val="en-US" w:eastAsia="zh-CN" w:bidi="ar"/>
              </w:rPr>
              <w:t>45min</w:t>
            </w:r>
            <w:r>
              <w:rPr>
                <w:rFonts w:hint="eastAsia" w:ascii="Times New Roman" w:hAnsi="Times New Roman" w:eastAsia="宋体" w:cs="Times New Roman"/>
                <w:color w:val="auto"/>
                <w:kern w:val="0"/>
                <w:sz w:val="24"/>
                <w:szCs w:val="24"/>
                <w:highlight w:val="none"/>
                <w:lang w:val="en-US" w:eastAsia="zh-CN" w:bidi="ar"/>
              </w:rPr>
              <w:t>。本项目水泥的年用量为</w:t>
            </w:r>
            <w:r>
              <w:rPr>
                <w:rFonts w:hint="eastAsia" w:cs="Times New Roman"/>
                <w:color w:val="auto"/>
                <w:kern w:val="0"/>
                <w:sz w:val="24"/>
                <w:szCs w:val="24"/>
                <w:highlight w:val="none"/>
                <w:lang w:val="en-US" w:eastAsia="zh-CN" w:bidi="ar"/>
              </w:rPr>
              <w:t>7700</w:t>
            </w:r>
            <w:r>
              <w:rPr>
                <w:rFonts w:hint="default" w:ascii="Times New Roman" w:hAnsi="Times New Roman" w:eastAsia="宋体" w:cs="Times New Roman"/>
                <w:color w:val="auto"/>
                <w:kern w:val="0"/>
                <w:sz w:val="24"/>
                <w:szCs w:val="24"/>
                <w:highlight w:val="none"/>
                <w:lang w:val="en-US" w:eastAsia="zh-CN" w:bidi="ar"/>
              </w:rPr>
              <w:t>t</w:t>
            </w:r>
            <w:r>
              <w:rPr>
                <w:rFonts w:hint="eastAsia" w:ascii="Times New Roman" w:hAnsi="Times New Roman" w:eastAsia="宋体" w:cs="Times New Roman"/>
                <w:color w:val="auto"/>
                <w:kern w:val="0"/>
                <w:sz w:val="24"/>
                <w:szCs w:val="24"/>
                <w:highlight w:val="none"/>
                <w:lang w:val="en-US" w:eastAsia="zh-CN" w:bidi="ar"/>
              </w:rPr>
              <w:t>，共建设</w:t>
            </w:r>
            <w:r>
              <w:rPr>
                <w:rFonts w:hint="default" w:ascii="Times New Roman" w:hAnsi="Times New Roman" w:eastAsia="宋体"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座水泥筒仓，则每座筒仓的年充装时间为</w:t>
            </w:r>
            <w:r>
              <w:rPr>
                <w:rFonts w:hint="eastAsia" w:cs="Times New Roman"/>
                <w:color w:val="auto"/>
                <w:kern w:val="0"/>
                <w:sz w:val="24"/>
                <w:szCs w:val="24"/>
                <w:highlight w:val="none"/>
                <w:lang w:val="en-US" w:eastAsia="zh-CN" w:bidi="ar"/>
              </w:rPr>
              <w:t>193</w:t>
            </w:r>
            <w:r>
              <w:rPr>
                <w:rFonts w:hint="default" w:ascii="Times New Roman" w:hAnsi="Times New Roman" w:eastAsia="宋体" w:cs="Times New Roman"/>
                <w:color w:val="auto"/>
                <w:kern w:val="0"/>
                <w:sz w:val="24"/>
                <w:szCs w:val="24"/>
                <w:highlight w:val="none"/>
                <w:lang w:val="en-US" w:eastAsia="zh-CN" w:bidi="ar"/>
              </w:rPr>
              <w:t>h</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val="0"/>
                <w:bCs/>
                <w:color w:val="auto"/>
                <w:kern w:val="2"/>
                <w:sz w:val="24"/>
                <w:szCs w:val="24"/>
                <w:highlight w:val="none"/>
                <w:lang w:val="en-US" w:eastAsia="zh-CN" w:bidi="ar-SA"/>
              </w:rPr>
              <w:t>粉煤灰单车最大运输量按</w:t>
            </w:r>
            <w:r>
              <w:rPr>
                <w:rFonts w:hint="default" w:ascii="Times New Roman" w:hAnsi="Times New Roman" w:eastAsia="宋体" w:cs="Times New Roman"/>
                <w:b w:val="0"/>
                <w:bCs/>
                <w:color w:val="auto"/>
                <w:kern w:val="2"/>
                <w:sz w:val="24"/>
                <w:szCs w:val="24"/>
                <w:highlight w:val="none"/>
                <w:lang w:val="en-US" w:eastAsia="zh-CN" w:bidi="ar-SA"/>
              </w:rPr>
              <w:t>30t/</w:t>
            </w:r>
            <w:r>
              <w:rPr>
                <w:rFonts w:hint="eastAsia" w:ascii="Times New Roman" w:hAnsi="Times New Roman" w:eastAsia="宋体" w:cs="Times New Roman"/>
                <w:b w:val="0"/>
                <w:bCs/>
                <w:color w:val="auto"/>
                <w:kern w:val="2"/>
                <w:sz w:val="24"/>
                <w:szCs w:val="24"/>
                <w:highlight w:val="none"/>
                <w:lang w:val="en-US" w:eastAsia="zh-CN" w:bidi="ar-SA"/>
              </w:rPr>
              <w:t>车，每车充装时间为</w:t>
            </w:r>
            <w:r>
              <w:rPr>
                <w:rFonts w:hint="default" w:ascii="Times New Roman" w:hAnsi="Times New Roman" w:eastAsia="宋体" w:cs="Times New Roman"/>
                <w:b w:val="0"/>
                <w:bCs/>
                <w:color w:val="auto"/>
                <w:kern w:val="2"/>
                <w:sz w:val="24"/>
                <w:szCs w:val="24"/>
                <w:highlight w:val="none"/>
                <w:lang w:val="en-US" w:eastAsia="zh-CN" w:bidi="ar-SA"/>
              </w:rPr>
              <w:t>45min</w:t>
            </w:r>
            <w:r>
              <w:rPr>
                <w:rFonts w:hint="eastAsia" w:ascii="Times New Roman" w:hAnsi="Times New Roman" w:eastAsia="宋体" w:cs="Times New Roman"/>
                <w:b w:val="0"/>
                <w:bCs/>
                <w:color w:val="auto"/>
                <w:kern w:val="2"/>
                <w:sz w:val="24"/>
                <w:szCs w:val="24"/>
                <w:highlight w:val="none"/>
                <w:lang w:val="en-US" w:eastAsia="zh-CN" w:bidi="ar-SA"/>
              </w:rPr>
              <w:t>。本项目粉煤灰的年用量为</w:t>
            </w:r>
            <w:r>
              <w:rPr>
                <w:rFonts w:hint="eastAsia" w:cs="Times New Roman"/>
                <w:b w:val="0"/>
                <w:bCs/>
                <w:color w:val="auto"/>
                <w:kern w:val="2"/>
                <w:sz w:val="24"/>
                <w:szCs w:val="24"/>
                <w:highlight w:val="none"/>
                <w:lang w:val="en-US" w:eastAsia="zh-CN" w:bidi="ar-SA"/>
              </w:rPr>
              <w:t>65</w:t>
            </w:r>
            <w:r>
              <w:rPr>
                <w:rFonts w:hint="default" w:ascii="Times New Roman" w:hAnsi="Times New Roman" w:eastAsia="宋体" w:cs="Times New Roman"/>
                <w:b w:val="0"/>
                <w:bCs/>
                <w:color w:val="auto"/>
                <w:kern w:val="2"/>
                <w:sz w:val="24"/>
                <w:szCs w:val="24"/>
                <w:highlight w:val="none"/>
                <w:lang w:val="en-US" w:eastAsia="zh-CN" w:bidi="ar-SA"/>
              </w:rPr>
              <w:t>0t</w:t>
            </w:r>
            <w:r>
              <w:rPr>
                <w:rFonts w:hint="eastAsia" w:ascii="Times New Roman" w:hAnsi="Times New Roman" w:eastAsia="宋体" w:cs="Times New Roman"/>
                <w:b w:val="0"/>
                <w:bCs/>
                <w:color w:val="auto"/>
                <w:kern w:val="2"/>
                <w:sz w:val="24"/>
                <w:szCs w:val="24"/>
                <w:highlight w:val="none"/>
                <w:lang w:val="en-US" w:eastAsia="zh-CN" w:bidi="ar-SA"/>
              </w:rPr>
              <w:t>，建设</w:t>
            </w:r>
            <w:r>
              <w:rPr>
                <w:rFonts w:hint="default" w:ascii="Times New Roman" w:hAnsi="Times New Roman" w:eastAsia="宋体" w:cs="Times New Roman"/>
                <w:b w:val="0"/>
                <w:bCs/>
                <w:color w:val="auto"/>
                <w:kern w:val="2"/>
                <w:sz w:val="24"/>
                <w:szCs w:val="24"/>
                <w:highlight w:val="none"/>
                <w:lang w:val="en-US" w:eastAsia="zh-CN" w:bidi="ar-SA"/>
              </w:rPr>
              <w:t>1</w:t>
            </w:r>
            <w:r>
              <w:rPr>
                <w:rFonts w:hint="eastAsia" w:ascii="Times New Roman" w:hAnsi="Times New Roman" w:eastAsia="宋体" w:cs="Times New Roman"/>
                <w:b w:val="0"/>
                <w:bCs/>
                <w:color w:val="auto"/>
                <w:kern w:val="2"/>
                <w:sz w:val="24"/>
                <w:szCs w:val="24"/>
                <w:highlight w:val="none"/>
                <w:lang w:val="en-US" w:eastAsia="zh-CN" w:bidi="ar-SA"/>
              </w:rPr>
              <w:t>座粉煤灰筒仓，则粉煤灰筒仓的年充装时间为</w:t>
            </w:r>
            <w:r>
              <w:rPr>
                <w:rFonts w:hint="eastAsia" w:cs="Times New Roman"/>
                <w:b w:val="0"/>
                <w:bCs/>
                <w:color w:val="auto"/>
                <w:kern w:val="2"/>
                <w:sz w:val="24"/>
                <w:szCs w:val="24"/>
                <w:highlight w:val="none"/>
                <w:lang w:val="en-US" w:eastAsia="zh-CN" w:bidi="ar-SA"/>
              </w:rPr>
              <w:t>17</w:t>
            </w:r>
            <w:r>
              <w:rPr>
                <w:rFonts w:hint="default" w:ascii="Times New Roman" w:hAnsi="Times New Roman" w:eastAsia="宋体" w:cs="Times New Roman"/>
                <w:b w:val="0"/>
                <w:bCs/>
                <w:color w:val="auto"/>
                <w:kern w:val="2"/>
                <w:sz w:val="24"/>
                <w:szCs w:val="24"/>
                <w:highlight w:val="none"/>
                <w:lang w:val="en-US" w:eastAsia="zh-CN" w:bidi="ar-SA"/>
              </w:rPr>
              <w:t>h</w:t>
            </w:r>
            <w:r>
              <w:rPr>
                <w:rFonts w:hint="eastAsia" w:ascii="Times New Roman" w:hAnsi="Times New Roman" w:eastAsia="宋体" w:cs="Times New Roman"/>
                <w:b w:val="0"/>
                <w:bCs/>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投料</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中</w:t>
            </w:r>
            <w:r>
              <w:rPr>
                <w:rFonts w:hint="default" w:ascii="Times New Roman" w:hAnsi="Times New Roman" w:eastAsia="宋体" w:cs="Times New Roman"/>
                <w:color w:val="auto"/>
                <w:sz w:val="24"/>
                <w:szCs w:val="24"/>
              </w:rPr>
              <w:t>砂</w:t>
            </w:r>
            <w:r>
              <w:rPr>
                <w:rFonts w:hint="eastAsia" w:cs="Times New Roman"/>
                <w:color w:val="auto"/>
                <w:sz w:val="24"/>
                <w:szCs w:val="24"/>
                <w:lang w:val="en-US" w:eastAsia="zh-CN"/>
              </w:rPr>
              <w:t>和碎石</w:t>
            </w:r>
            <w:r>
              <w:rPr>
                <w:rFonts w:hint="default" w:ascii="Times New Roman" w:hAnsi="Times New Roman" w:eastAsia="宋体" w:cs="Times New Roman"/>
                <w:color w:val="auto"/>
                <w:sz w:val="24"/>
                <w:szCs w:val="24"/>
              </w:rPr>
              <w:t>通过铲车送至</w:t>
            </w:r>
            <w:r>
              <w:rPr>
                <w:rFonts w:hint="eastAsia" w:cs="Times New Roman"/>
                <w:color w:val="auto"/>
                <w:sz w:val="24"/>
                <w:szCs w:val="24"/>
                <w:lang w:val="en-US" w:eastAsia="zh-CN"/>
              </w:rPr>
              <w:t>配料机</w:t>
            </w:r>
            <w:r>
              <w:rPr>
                <w:rFonts w:hint="default" w:ascii="Times New Roman" w:hAnsi="Times New Roman" w:eastAsia="宋体" w:cs="Times New Roman"/>
                <w:color w:val="auto"/>
                <w:sz w:val="24"/>
                <w:szCs w:val="24"/>
              </w:rPr>
              <w:t>进料口进入</w:t>
            </w:r>
            <w:r>
              <w:rPr>
                <w:rFonts w:hint="eastAsia" w:cs="Times New Roman"/>
                <w:color w:val="auto"/>
                <w:sz w:val="24"/>
                <w:szCs w:val="24"/>
                <w:lang w:val="en-US" w:eastAsia="zh-CN"/>
              </w:rPr>
              <w:t>料</w:t>
            </w:r>
            <w:r>
              <w:rPr>
                <w:rFonts w:hint="default" w:ascii="Times New Roman" w:hAnsi="Times New Roman" w:eastAsia="宋体" w:cs="Times New Roman"/>
                <w:color w:val="auto"/>
                <w:sz w:val="24"/>
                <w:szCs w:val="24"/>
              </w:rPr>
              <w:t>仓，经配料门进入计量斗，计量斗根据微机指令控制比例后卸在输送</w:t>
            </w:r>
            <w:r>
              <w:rPr>
                <w:rFonts w:hint="eastAsia" w:cs="Times New Roman"/>
                <w:color w:val="auto"/>
                <w:sz w:val="24"/>
                <w:szCs w:val="24"/>
                <w:lang w:val="en-US" w:eastAsia="zh-CN"/>
              </w:rPr>
              <w:t>皮</w:t>
            </w:r>
            <w:r>
              <w:rPr>
                <w:rFonts w:hint="default" w:ascii="Times New Roman" w:hAnsi="Times New Roman" w:eastAsia="宋体" w:cs="Times New Roman"/>
                <w:color w:val="auto"/>
                <w:sz w:val="24"/>
                <w:szCs w:val="24"/>
              </w:rPr>
              <w:t>带上运入</w:t>
            </w:r>
            <w:r>
              <w:rPr>
                <w:rFonts w:hint="eastAsia" w:eastAsia="宋体" w:cs="Times New Roman"/>
                <w:color w:val="auto"/>
                <w:sz w:val="24"/>
                <w:szCs w:val="24"/>
                <w:lang w:eastAsia="zh-CN"/>
              </w:rPr>
              <w:t>搅拌</w:t>
            </w:r>
            <w:r>
              <w:rPr>
                <w:rFonts w:hint="eastAsia" w:cs="Times New Roman"/>
                <w:color w:val="auto"/>
                <w:sz w:val="24"/>
                <w:szCs w:val="24"/>
                <w:lang w:val="en-US" w:eastAsia="zh-CN"/>
              </w:rPr>
              <w:t>机</w:t>
            </w:r>
            <w:r>
              <w:rPr>
                <w:rFonts w:hint="default" w:ascii="Times New Roman" w:hAnsi="Times New Roman" w:eastAsia="宋体" w:cs="Times New Roman"/>
                <w:color w:val="auto"/>
                <w:sz w:val="24"/>
                <w:szCs w:val="24"/>
              </w:rPr>
              <w:t>；水泥</w:t>
            </w:r>
            <w:r>
              <w:rPr>
                <w:rFonts w:hint="eastAsia" w:ascii="Times New Roman" w:hAnsi="Times New Roman" w:cs="Times New Roman"/>
                <w:color w:val="auto"/>
                <w:sz w:val="24"/>
                <w:szCs w:val="24"/>
                <w:lang w:val="en-US" w:eastAsia="zh-CN"/>
              </w:rPr>
              <w:t>和粉煤灰</w:t>
            </w:r>
            <w:r>
              <w:rPr>
                <w:rFonts w:hint="default" w:ascii="Times New Roman" w:hAnsi="Times New Roman" w:eastAsia="宋体" w:cs="Times New Roman"/>
                <w:color w:val="auto"/>
                <w:sz w:val="24"/>
                <w:szCs w:val="24"/>
              </w:rPr>
              <w:t>在筒仓中经螺旋机送入计量斗，计量斗根据微机指令控制比例后经放料阀进入</w:t>
            </w:r>
            <w:r>
              <w:rPr>
                <w:rFonts w:hint="eastAsia" w:eastAsia="宋体" w:cs="Times New Roman"/>
                <w:color w:val="auto"/>
                <w:sz w:val="24"/>
                <w:szCs w:val="24"/>
                <w:lang w:eastAsia="zh-CN"/>
              </w:rPr>
              <w:t>搅拌</w:t>
            </w:r>
            <w:r>
              <w:rPr>
                <w:rFonts w:hint="eastAsia" w:cs="Times New Roman"/>
                <w:color w:val="auto"/>
                <w:sz w:val="24"/>
                <w:szCs w:val="24"/>
                <w:lang w:val="en-US" w:eastAsia="zh-CN"/>
              </w:rPr>
              <w:t>机</w:t>
            </w:r>
            <w:r>
              <w:rPr>
                <w:rFonts w:hint="default" w:ascii="Times New Roman" w:hAnsi="Times New Roman" w:eastAsia="宋体" w:cs="Times New Roman"/>
                <w:color w:val="auto"/>
                <w:sz w:val="24"/>
                <w:szCs w:val="24"/>
              </w:rPr>
              <w:t>；外加剂根据水泥配方通过计量后经放料阀进入</w:t>
            </w:r>
            <w:r>
              <w:rPr>
                <w:rFonts w:hint="eastAsia" w:eastAsia="宋体" w:cs="Times New Roman"/>
                <w:color w:val="auto"/>
                <w:sz w:val="24"/>
                <w:szCs w:val="24"/>
                <w:lang w:eastAsia="zh-CN"/>
              </w:rPr>
              <w:t>搅拌</w:t>
            </w:r>
            <w:r>
              <w:rPr>
                <w:rFonts w:hint="eastAsia" w:cs="Times New Roman"/>
                <w:color w:val="auto"/>
                <w:sz w:val="24"/>
                <w:szCs w:val="24"/>
                <w:lang w:val="en-US" w:eastAsia="zh-CN"/>
              </w:rPr>
              <w:t>机</w:t>
            </w:r>
            <w:r>
              <w:rPr>
                <w:rFonts w:hint="default" w:ascii="Times New Roman" w:hAnsi="Times New Roman" w:eastAsia="宋体" w:cs="Times New Roman"/>
                <w:color w:val="auto"/>
                <w:sz w:val="24"/>
                <w:szCs w:val="24"/>
              </w:rPr>
              <w:t>；水计量后由泵直接抽入</w:t>
            </w:r>
            <w:r>
              <w:rPr>
                <w:rFonts w:hint="eastAsia" w:eastAsia="宋体" w:cs="Times New Roman"/>
                <w:color w:val="auto"/>
                <w:sz w:val="24"/>
                <w:szCs w:val="24"/>
                <w:lang w:eastAsia="zh-CN"/>
              </w:rPr>
              <w:t>搅拌</w:t>
            </w:r>
            <w:r>
              <w:rPr>
                <w:rFonts w:hint="eastAsia" w:cs="Times New Roman"/>
                <w:color w:val="auto"/>
                <w:sz w:val="24"/>
                <w:szCs w:val="24"/>
                <w:lang w:val="en-US" w:eastAsia="zh-CN"/>
              </w:rPr>
              <w:t>机</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投料工序年运行时间为100</w:t>
            </w:r>
            <w:r>
              <w:rPr>
                <w:rFonts w:hint="default" w:ascii="Times New Roman" w:hAnsi="Times New Roman" w:cs="Times New Roman"/>
                <w:color w:val="auto"/>
                <w:sz w:val="24"/>
                <w:szCs w:val="24"/>
                <w:lang w:val="en-US" w:eastAsia="zh-CN"/>
              </w:rPr>
              <w:t>0h</w:t>
            </w:r>
            <w:r>
              <w:rPr>
                <w:rFonts w:hint="eastAsia"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搅拌</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产品混凝土生产由搅拌机来完成，所有原辅料计量后一起送至搅拌机内进行搅拌。经过充分的搅拌，使水泥、粉煤灰和砂、碎石的亲和力达到最大。搅拌到程序设定时间，主机自动开门卸料。</w:t>
            </w:r>
            <w:r>
              <w:rPr>
                <w:rFonts w:hint="eastAsia" w:cs="Times New Roman"/>
                <w:color w:val="auto"/>
                <w:sz w:val="24"/>
                <w:szCs w:val="24"/>
                <w:lang w:val="en-US" w:eastAsia="zh-CN"/>
              </w:rPr>
              <w:t>搅拌工序年运行时间为100</w:t>
            </w:r>
            <w:r>
              <w:rPr>
                <w:rFonts w:hint="default" w:ascii="Times New Roman" w:hAnsi="Times New Roman" w:cs="Times New Roman"/>
                <w:color w:val="auto"/>
                <w:sz w:val="24"/>
                <w:szCs w:val="24"/>
                <w:lang w:val="en-US" w:eastAsia="zh-CN"/>
              </w:rPr>
              <w:t>0h</w:t>
            </w:r>
            <w:r>
              <w:rPr>
                <w:rFonts w:hint="eastAsia"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）检验和拉运</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搅拌完成后，</w:t>
            </w:r>
            <w:r>
              <w:rPr>
                <w:rFonts w:hint="eastAsia" w:ascii="Times New Roman" w:hAnsi="Times New Roman" w:eastAsia="宋体" w:cs="Times New Roman"/>
                <w:color w:val="auto"/>
                <w:sz w:val="24"/>
                <w:szCs w:val="24"/>
                <w:lang w:eastAsia="zh-CN"/>
              </w:rPr>
              <w:t>对</w:t>
            </w:r>
            <w:r>
              <w:rPr>
                <w:rFonts w:hint="default" w:ascii="Times New Roman" w:hAnsi="Times New Roman" w:eastAsia="宋体" w:cs="Times New Roman"/>
                <w:color w:val="auto"/>
                <w:sz w:val="24"/>
                <w:szCs w:val="24"/>
              </w:rPr>
              <w:t>混凝土</w:t>
            </w:r>
            <w:r>
              <w:rPr>
                <w:rFonts w:hint="eastAsia" w:ascii="Times New Roman" w:hAnsi="Times New Roman" w:eastAsia="宋体" w:cs="Times New Roman"/>
                <w:color w:val="auto"/>
                <w:sz w:val="24"/>
                <w:szCs w:val="24"/>
                <w:lang w:eastAsia="zh-CN"/>
              </w:rPr>
              <w:t>进行物理检验，且</w:t>
            </w:r>
            <w:r>
              <w:rPr>
                <w:rFonts w:hint="default" w:ascii="Times New Roman" w:hAnsi="Times New Roman" w:eastAsia="宋体" w:cs="Times New Roman"/>
                <w:color w:val="auto"/>
                <w:sz w:val="24"/>
                <w:szCs w:val="24"/>
              </w:rPr>
              <w:t>检验合格后</w:t>
            </w:r>
            <w:r>
              <w:rPr>
                <w:rFonts w:hint="eastAsia" w:ascii="Times New Roman" w:hAnsi="Times New Roman" w:eastAsia="宋体" w:cs="Times New Roman"/>
                <w:color w:val="auto"/>
                <w:sz w:val="24"/>
                <w:szCs w:val="24"/>
                <w:lang w:eastAsia="zh-CN"/>
              </w:rPr>
              <w:t>，再由</w:t>
            </w:r>
            <w:r>
              <w:rPr>
                <w:rFonts w:hint="default" w:ascii="Times New Roman" w:hAnsi="Times New Roman" w:eastAsia="宋体" w:cs="Times New Roman"/>
                <w:color w:val="auto"/>
                <w:sz w:val="24"/>
                <w:szCs w:val="24"/>
              </w:rPr>
              <w:t>混凝土</w:t>
            </w:r>
            <w:r>
              <w:rPr>
                <w:rFonts w:hint="eastAsia" w:ascii="Times New Roman" w:hAnsi="Times New Roman" w:eastAsia="宋体" w:cs="Times New Roman"/>
                <w:color w:val="auto"/>
                <w:sz w:val="24"/>
                <w:szCs w:val="24"/>
                <w:lang w:eastAsia="zh-CN"/>
              </w:rPr>
              <w:t>搅拌罐</w:t>
            </w:r>
            <w:r>
              <w:rPr>
                <w:rFonts w:hint="default" w:ascii="Times New Roman" w:hAnsi="Times New Roman" w:eastAsia="宋体" w:cs="Times New Roman"/>
                <w:color w:val="auto"/>
                <w:sz w:val="24"/>
                <w:szCs w:val="24"/>
              </w:rPr>
              <w:t>车</w:t>
            </w:r>
            <w:r>
              <w:rPr>
                <w:rFonts w:hint="eastAsia" w:ascii="Times New Roman" w:hAnsi="Times New Roman" w:eastAsia="宋体" w:cs="Times New Roman"/>
                <w:color w:val="auto"/>
                <w:sz w:val="24"/>
                <w:szCs w:val="24"/>
                <w:lang w:eastAsia="zh-CN"/>
              </w:rPr>
              <w:t>直接拉运出场，送至相关道路工程施工现场。</w:t>
            </w:r>
          </w:p>
          <w:p>
            <w:pPr>
              <w:pStyle w:val="157"/>
              <w:numPr>
                <w:ilvl w:val="0"/>
                <w:numId w:val="0"/>
              </w:num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表2-</w:t>
            </w:r>
            <w:r>
              <w:rPr>
                <w:rFonts w:hint="default" w:ascii="Times New Roman" w:hAnsi="Times New Roman"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本项目运营期工程主要产排污节点一览表</w:t>
            </w:r>
          </w:p>
          <w:tbl>
            <w:tblPr>
              <w:tblStyle w:val="32"/>
              <w:tblW w:w="825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234"/>
              <w:gridCol w:w="1697"/>
              <w:gridCol w:w="1513"/>
              <w:gridCol w:w="27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4" w:type="dxa"/>
                  <w:noWrap w:val="0"/>
                  <w:vAlign w:val="center"/>
                </w:tcPr>
                <w:p>
                  <w:pPr>
                    <w:adjustRightInd w:val="0"/>
                    <w:snapToGrid w:val="0"/>
                    <w:spacing w:line="360" w:lineRule="exact"/>
                    <w:jc w:val="center"/>
                    <w:rPr>
                      <w:b/>
                      <w:bCs/>
                      <w:color w:val="auto"/>
                      <w:szCs w:val="21"/>
                      <w:highlight w:val="none"/>
                    </w:rPr>
                  </w:pPr>
                  <w:r>
                    <w:rPr>
                      <w:b/>
                      <w:bCs/>
                      <w:color w:val="auto"/>
                      <w:szCs w:val="21"/>
                      <w:highlight w:val="none"/>
                    </w:rPr>
                    <w:t>污染类别</w:t>
                  </w:r>
                </w:p>
              </w:tc>
              <w:tc>
                <w:tcPr>
                  <w:tcW w:w="1234" w:type="dxa"/>
                  <w:noWrap w:val="0"/>
                  <w:vAlign w:val="center"/>
                </w:tcPr>
                <w:p>
                  <w:pPr>
                    <w:adjustRightInd w:val="0"/>
                    <w:snapToGrid w:val="0"/>
                    <w:spacing w:line="360" w:lineRule="exact"/>
                    <w:jc w:val="center"/>
                    <w:rPr>
                      <w:b/>
                      <w:bCs/>
                      <w:color w:val="auto"/>
                      <w:szCs w:val="21"/>
                      <w:highlight w:val="none"/>
                    </w:rPr>
                  </w:pPr>
                  <w:r>
                    <w:rPr>
                      <w:b/>
                      <w:bCs/>
                      <w:color w:val="auto"/>
                      <w:szCs w:val="21"/>
                      <w:highlight w:val="none"/>
                    </w:rPr>
                    <w:t>主要污染源</w:t>
                  </w:r>
                </w:p>
              </w:tc>
              <w:tc>
                <w:tcPr>
                  <w:tcW w:w="1697" w:type="dxa"/>
                  <w:noWrap w:val="0"/>
                  <w:vAlign w:val="center"/>
                </w:tcPr>
                <w:p>
                  <w:pPr>
                    <w:adjustRightInd w:val="0"/>
                    <w:snapToGrid w:val="0"/>
                    <w:spacing w:line="360" w:lineRule="exact"/>
                    <w:jc w:val="center"/>
                    <w:rPr>
                      <w:b/>
                      <w:bCs/>
                      <w:color w:val="auto"/>
                      <w:szCs w:val="21"/>
                      <w:highlight w:val="none"/>
                    </w:rPr>
                  </w:pPr>
                  <w:r>
                    <w:rPr>
                      <w:b/>
                      <w:bCs/>
                      <w:color w:val="auto"/>
                      <w:szCs w:val="21"/>
                      <w:highlight w:val="none"/>
                    </w:rPr>
                    <w:t>产生工序</w:t>
                  </w:r>
                </w:p>
              </w:tc>
              <w:tc>
                <w:tcPr>
                  <w:tcW w:w="1513" w:type="dxa"/>
                  <w:noWrap w:val="0"/>
                  <w:vAlign w:val="center"/>
                </w:tcPr>
                <w:p>
                  <w:pPr>
                    <w:adjustRightInd w:val="0"/>
                    <w:snapToGrid w:val="0"/>
                    <w:spacing w:line="360" w:lineRule="exact"/>
                    <w:jc w:val="center"/>
                    <w:rPr>
                      <w:b/>
                      <w:bCs/>
                      <w:color w:val="auto"/>
                      <w:szCs w:val="21"/>
                      <w:highlight w:val="none"/>
                    </w:rPr>
                  </w:pPr>
                  <w:r>
                    <w:rPr>
                      <w:b/>
                      <w:bCs/>
                      <w:color w:val="auto"/>
                      <w:szCs w:val="21"/>
                      <w:highlight w:val="none"/>
                    </w:rPr>
                    <w:t>主要污染因子</w:t>
                  </w:r>
                </w:p>
              </w:tc>
              <w:tc>
                <w:tcPr>
                  <w:tcW w:w="2790" w:type="dxa"/>
                  <w:noWrap w:val="0"/>
                  <w:vAlign w:val="center"/>
                </w:tcPr>
                <w:p>
                  <w:pPr>
                    <w:adjustRightInd w:val="0"/>
                    <w:snapToGrid w:val="0"/>
                    <w:spacing w:line="360" w:lineRule="exact"/>
                    <w:jc w:val="center"/>
                    <w:rPr>
                      <w:b/>
                      <w:bCs/>
                      <w:color w:val="auto"/>
                      <w:szCs w:val="21"/>
                      <w:highlight w:val="none"/>
                    </w:rPr>
                  </w:pPr>
                  <w:r>
                    <w:rPr>
                      <w:rFonts w:hint="default"/>
                      <w:b/>
                      <w:bCs/>
                      <w:color w:val="auto"/>
                      <w:szCs w:val="21"/>
                      <w:highlight w:val="none"/>
                      <w:lang w:eastAsia="zh-CN"/>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024" w:type="dxa"/>
                  <w:vMerge w:val="restart"/>
                  <w:noWrap w:val="0"/>
                  <w:vAlign w:val="center"/>
                </w:tcPr>
                <w:p>
                  <w:pPr>
                    <w:adjustRightInd w:val="0"/>
                    <w:snapToGrid w:val="0"/>
                    <w:spacing w:line="360" w:lineRule="exact"/>
                    <w:jc w:val="center"/>
                    <w:rPr>
                      <w:color w:val="auto"/>
                      <w:szCs w:val="21"/>
                      <w:highlight w:val="none"/>
                    </w:rPr>
                  </w:pPr>
                  <w:r>
                    <w:rPr>
                      <w:color w:val="auto"/>
                      <w:szCs w:val="21"/>
                      <w:highlight w:val="none"/>
                    </w:rPr>
                    <w:t>废气</w:t>
                  </w:r>
                </w:p>
              </w:tc>
              <w:tc>
                <w:tcPr>
                  <w:tcW w:w="1234" w:type="dxa"/>
                  <w:vMerge w:val="restart"/>
                  <w:noWrap w:val="0"/>
                  <w:vAlign w:val="center"/>
                </w:tcPr>
                <w:p>
                  <w:pPr>
                    <w:adjustRightInd w:val="0"/>
                    <w:snapToGrid w:val="0"/>
                    <w:spacing w:line="360" w:lineRule="exact"/>
                    <w:jc w:val="center"/>
                    <w:rPr>
                      <w:color w:val="auto"/>
                      <w:szCs w:val="21"/>
                      <w:highlight w:val="none"/>
                    </w:rPr>
                  </w:pPr>
                  <w:r>
                    <w:rPr>
                      <w:color w:val="auto"/>
                      <w:szCs w:val="21"/>
                      <w:highlight w:val="none"/>
                    </w:rPr>
                    <w:t>生产区</w:t>
                  </w:r>
                </w:p>
              </w:tc>
              <w:tc>
                <w:tcPr>
                  <w:tcW w:w="1697"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ind w:right="113"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kern w:val="2"/>
                      <w:sz w:val="21"/>
                      <w:szCs w:val="21"/>
                      <w:highlight w:val="none"/>
                      <w:lang w:val="en-US" w:eastAsia="zh-CN" w:bidi="ar-SA"/>
                    </w:rPr>
                    <w:t>搅拌机废气</w:t>
                  </w:r>
                </w:p>
              </w:tc>
              <w:tc>
                <w:tcPr>
                  <w:tcW w:w="1513"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790"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经布袋除尘器除尘后无组织排入大气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024" w:type="dxa"/>
                  <w:vMerge w:val="continue"/>
                  <w:noWrap w:val="0"/>
                  <w:vAlign w:val="center"/>
                </w:tcPr>
                <w:p>
                  <w:pPr>
                    <w:adjustRightInd w:val="0"/>
                    <w:snapToGrid w:val="0"/>
                    <w:spacing w:line="360" w:lineRule="exact"/>
                    <w:jc w:val="center"/>
                    <w:rPr>
                      <w:color w:val="auto"/>
                      <w:szCs w:val="21"/>
                      <w:highlight w:val="none"/>
                    </w:rPr>
                  </w:pPr>
                </w:p>
              </w:tc>
              <w:tc>
                <w:tcPr>
                  <w:tcW w:w="1234" w:type="dxa"/>
                  <w:vMerge w:val="continue"/>
                  <w:noWrap w:val="0"/>
                  <w:vAlign w:val="center"/>
                </w:tcPr>
                <w:p>
                  <w:pPr>
                    <w:adjustRightInd w:val="0"/>
                    <w:snapToGrid w:val="0"/>
                    <w:spacing w:line="360" w:lineRule="exact"/>
                    <w:jc w:val="center"/>
                    <w:rPr>
                      <w:color w:val="auto"/>
                      <w:szCs w:val="21"/>
                      <w:highlight w:val="none"/>
                    </w:rPr>
                  </w:pPr>
                </w:p>
              </w:tc>
              <w:tc>
                <w:tcPr>
                  <w:tcW w:w="1697"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ind w:right="113"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水泥</w:t>
                  </w:r>
                  <w:r>
                    <w:rPr>
                      <w:rFonts w:hint="default" w:ascii="Times New Roman" w:hAnsi="Times New Roman" w:eastAsia="宋体" w:cs="Times New Roman"/>
                      <w:color w:val="auto"/>
                      <w:kern w:val="2"/>
                      <w:sz w:val="21"/>
                      <w:szCs w:val="21"/>
                      <w:highlight w:val="none"/>
                      <w:lang w:val="en-US" w:eastAsia="zh-CN" w:bidi="ar-SA"/>
                    </w:rPr>
                    <w:t>筒仓呼吸废气</w:t>
                  </w:r>
                </w:p>
              </w:tc>
              <w:tc>
                <w:tcPr>
                  <w:tcW w:w="1513"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790"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eastAsia="宋体" w:cs="Times New Roman"/>
                      <w:color w:val="auto"/>
                      <w:sz w:val="21"/>
                      <w:szCs w:val="21"/>
                      <w:highlight w:val="none"/>
                    </w:rPr>
                    <w:t>除尘器</w:t>
                  </w:r>
                  <w:r>
                    <w:rPr>
                      <w:rFonts w:hint="default" w:ascii="Times New Roman" w:hAnsi="Times New Roman" w:eastAsia="宋体" w:cs="Times New Roman"/>
                      <w:color w:val="auto"/>
                      <w:sz w:val="21"/>
                      <w:szCs w:val="21"/>
                      <w:highlight w:val="none"/>
                      <w:lang w:eastAsia="zh-CN"/>
                    </w:rPr>
                    <w:t>除尘后无组织</w:t>
                  </w:r>
                  <w:r>
                    <w:rPr>
                      <w:rFonts w:hint="default" w:ascii="Times New Roman" w:hAnsi="Times New Roman" w:eastAsia="宋体" w:cs="Times New Roman"/>
                      <w:color w:val="auto"/>
                      <w:sz w:val="21"/>
                      <w:szCs w:val="21"/>
                      <w:highlight w:val="none"/>
                      <w:lang w:val="en-US" w:eastAsia="zh-CN"/>
                    </w:rPr>
                    <w:t>排入大气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024" w:type="dxa"/>
                  <w:vMerge w:val="continue"/>
                  <w:noWrap w:val="0"/>
                  <w:vAlign w:val="center"/>
                </w:tcPr>
                <w:p>
                  <w:pPr>
                    <w:adjustRightInd w:val="0"/>
                    <w:snapToGrid w:val="0"/>
                    <w:spacing w:line="360" w:lineRule="exact"/>
                    <w:jc w:val="center"/>
                    <w:rPr>
                      <w:color w:val="auto"/>
                      <w:szCs w:val="21"/>
                      <w:highlight w:val="none"/>
                    </w:rPr>
                  </w:pPr>
                </w:p>
              </w:tc>
              <w:tc>
                <w:tcPr>
                  <w:tcW w:w="1234" w:type="dxa"/>
                  <w:vMerge w:val="continue"/>
                  <w:noWrap w:val="0"/>
                  <w:vAlign w:val="center"/>
                </w:tcPr>
                <w:p>
                  <w:pPr>
                    <w:adjustRightInd w:val="0"/>
                    <w:snapToGrid w:val="0"/>
                    <w:spacing w:line="360" w:lineRule="exact"/>
                    <w:jc w:val="center"/>
                    <w:rPr>
                      <w:color w:val="auto"/>
                      <w:szCs w:val="21"/>
                      <w:highlight w:val="none"/>
                    </w:rPr>
                  </w:pPr>
                </w:p>
              </w:tc>
              <w:tc>
                <w:tcPr>
                  <w:tcW w:w="1697"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ind w:right="113" w:rightChars="0" w:firstLine="0" w:firstLineChars="0"/>
                    <w:jc w:val="center"/>
                    <w:textAlignment w:val="auto"/>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粉煤灰筒仓</w:t>
                  </w:r>
                  <w:r>
                    <w:rPr>
                      <w:rFonts w:hint="default" w:ascii="Times New Roman" w:hAnsi="Times New Roman" w:eastAsia="宋体" w:cs="Times New Roman"/>
                      <w:color w:val="auto"/>
                      <w:kern w:val="2"/>
                      <w:sz w:val="21"/>
                      <w:szCs w:val="21"/>
                      <w:highlight w:val="none"/>
                      <w:lang w:val="en-US" w:eastAsia="zh-CN" w:bidi="ar-SA"/>
                    </w:rPr>
                    <w:t>呼吸废气</w:t>
                  </w:r>
                </w:p>
              </w:tc>
              <w:tc>
                <w:tcPr>
                  <w:tcW w:w="1513" w:type="dxa"/>
                  <w:shd w:val="clear" w:color="auto" w:fill="auto"/>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2790" w:type="dxa"/>
                  <w:shd w:val="clear" w:color="auto" w:fill="auto"/>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eastAsia="宋体" w:cs="Times New Roman"/>
                      <w:color w:val="auto"/>
                      <w:sz w:val="21"/>
                      <w:szCs w:val="21"/>
                      <w:highlight w:val="none"/>
                    </w:rPr>
                    <w:t>除尘器</w:t>
                  </w:r>
                  <w:r>
                    <w:rPr>
                      <w:rFonts w:hint="default" w:ascii="Times New Roman" w:hAnsi="Times New Roman" w:eastAsia="宋体" w:cs="Times New Roman"/>
                      <w:color w:val="auto"/>
                      <w:sz w:val="21"/>
                      <w:szCs w:val="21"/>
                      <w:highlight w:val="none"/>
                      <w:lang w:eastAsia="zh-CN"/>
                    </w:rPr>
                    <w:t>除尘后无组织</w:t>
                  </w:r>
                  <w:r>
                    <w:rPr>
                      <w:rFonts w:hint="default" w:ascii="Times New Roman" w:hAnsi="Times New Roman" w:eastAsia="宋体" w:cs="Times New Roman"/>
                      <w:color w:val="auto"/>
                      <w:sz w:val="21"/>
                      <w:szCs w:val="21"/>
                      <w:highlight w:val="none"/>
                      <w:lang w:val="en-US" w:eastAsia="zh-CN"/>
                    </w:rPr>
                    <w:t>排入大气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024" w:type="dxa"/>
                  <w:vMerge w:val="continue"/>
                  <w:noWrap w:val="0"/>
                  <w:vAlign w:val="center"/>
                </w:tcPr>
                <w:p>
                  <w:pPr>
                    <w:adjustRightInd w:val="0"/>
                    <w:snapToGrid w:val="0"/>
                    <w:spacing w:line="360" w:lineRule="exact"/>
                    <w:jc w:val="center"/>
                    <w:rPr>
                      <w:color w:val="auto"/>
                      <w:szCs w:val="21"/>
                      <w:highlight w:val="none"/>
                    </w:rPr>
                  </w:pPr>
                </w:p>
              </w:tc>
              <w:tc>
                <w:tcPr>
                  <w:tcW w:w="1234" w:type="dxa"/>
                  <w:vMerge w:val="continue"/>
                  <w:noWrap w:val="0"/>
                  <w:vAlign w:val="center"/>
                </w:tcPr>
                <w:p>
                  <w:pPr>
                    <w:adjustRightInd w:val="0"/>
                    <w:snapToGrid w:val="0"/>
                    <w:spacing w:line="360" w:lineRule="exact"/>
                    <w:jc w:val="center"/>
                    <w:rPr>
                      <w:color w:val="auto"/>
                      <w:szCs w:val="21"/>
                      <w:highlight w:val="none"/>
                    </w:rPr>
                  </w:pPr>
                </w:p>
              </w:tc>
              <w:tc>
                <w:tcPr>
                  <w:tcW w:w="1697"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ind w:right="113"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原料堆场</w:t>
                  </w:r>
                </w:p>
              </w:tc>
              <w:tc>
                <w:tcPr>
                  <w:tcW w:w="1513"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790"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原料堆场四周设置防风抑尘网、顶部苫布覆盖</w:t>
                  </w:r>
                  <w:r>
                    <w:rPr>
                      <w:rFonts w:hint="default" w:ascii="Times New Roman" w:hAnsi="Times New Roman" w:eastAsia="宋体" w:cs="Times New Roman"/>
                      <w:color w:val="auto"/>
                      <w:sz w:val="21"/>
                      <w:szCs w:val="21"/>
                      <w:highlight w:val="none"/>
                      <w:lang w:eastAsia="zh-CN"/>
                    </w:rPr>
                    <w:t>，装卸时洒水降尘后无组织排入大气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024" w:type="dxa"/>
                  <w:vMerge w:val="continue"/>
                  <w:noWrap w:val="0"/>
                  <w:vAlign w:val="center"/>
                </w:tcPr>
                <w:p>
                  <w:pPr>
                    <w:adjustRightInd w:val="0"/>
                    <w:snapToGrid w:val="0"/>
                    <w:spacing w:line="360" w:lineRule="exact"/>
                    <w:jc w:val="center"/>
                    <w:rPr>
                      <w:color w:val="auto"/>
                      <w:szCs w:val="21"/>
                      <w:highlight w:val="none"/>
                    </w:rPr>
                  </w:pPr>
                </w:p>
              </w:tc>
              <w:tc>
                <w:tcPr>
                  <w:tcW w:w="1234" w:type="dxa"/>
                  <w:vMerge w:val="continue"/>
                  <w:noWrap w:val="0"/>
                  <w:vAlign w:val="center"/>
                </w:tcPr>
                <w:p>
                  <w:pPr>
                    <w:adjustRightInd w:val="0"/>
                    <w:snapToGrid w:val="0"/>
                    <w:spacing w:line="360" w:lineRule="exact"/>
                    <w:jc w:val="center"/>
                    <w:rPr>
                      <w:color w:val="auto"/>
                      <w:szCs w:val="21"/>
                      <w:highlight w:val="none"/>
                    </w:rPr>
                  </w:pPr>
                </w:p>
              </w:tc>
              <w:tc>
                <w:tcPr>
                  <w:tcW w:w="1697"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ind w:right="113"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投料废气</w:t>
                  </w:r>
                </w:p>
              </w:tc>
              <w:tc>
                <w:tcPr>
                  <w:tcW w:w="1513"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790"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投料斗上方设置半封闭式罩棚；并在投料口上方设置雾化喷淋装置</w:t>
                  </w:r>
                  <w:r>
                    <w:rPr>
                      <w:rFonts w:hint="eastAsia" w:cs="Times New Roman"/>
                      <w:b w:val="0"/>
                      <w:bCs/>
                      <w:color w:val="auto"/>
                      <w:kern w:val="2"/>
                      <w:sz w:val="21"/>
                      <w:szCs w:val="21"/>
                      <w:highlight w:val="none"/>
                      <w:lang w:val="en-US" w:eastAsia="zh-CN" w:bidi="ar-SA"/>
                    </w:rPr>
                    <w:t>，</w:t>
                  </w:r>
                  <w:r>
                    <w:rPr>
                      <w:rFonts w:hint="eastAsia" w:cs="Times New Roman"/>
                      <w:color w:val="auto"/>
                      <w:highlight w:val="none"/>
                      <w:lang w:val="en-US" w:eastAsia="zh-CN"/>
                    </w:rPr>
                    <w:t>输送皮带全封闭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024" w:type="dxa"/>
                  <w:vMerge w:val="continue"/>
                  <w:noWrap w:val="0"/>
                  <w:vAlign w:val="center"/>
                </w:tcPr>
                <w:p>
                  <w:pPr>
                    <w:adjustRightInd w:val="0"/>
                    <w:snapToGrid w:val="0"/>
                    <w:spacing w:line="360" w:lineRule="exact"/>
                    <w:jc w:val="center"/>
                    <w:rPr>
                      <w:color w:val="auto"/>
                      <w:szCs w:val="21"/>
                      <w:highlight w:val="none"/>
                    </w:rPr>
                  </w:pPr>
                </w:p>
              </w:tc>
              <w:tc>
                <w:tcPr>
                  <w:tcW w:w="1234" w:type="dxa"/>
                  <w:vMerge w:val="continue"/>
                  <w:noWrap w:val="0"/>
                  <w:vAlign w:val="center"/>
                </w:tcPr>
                <w:p>
                  <w:pPr>
                    <w:adjustRightInd w:val="0"/>
                    <w:snapToGrid w:val="0"/>
                    <w:spacing w:line="360" w:lineRule="exact"/>
                    <w:jc w:val="center"/>
                    <w:rPr>
                      <w:color w:val="auto"/>
                      <w:szCs w:val="21"/>
                      <w:highlight w:val="none"/>
                    </w:rPr>
                  </w:pPr>
                </w:p>
              </w:tc>
              <w:tc>
                <w:tcPr>
                  <w:tcW w:w="1697" w:type="dxa"/>
                  <w:noWrap w:val="0"/>
                  <w:vAlign w:val="center"/>
                </w:tcPr>
                <w:p>
                  <w:pPr>
                    <w:pStyle w:val="134"/>
                    <w:keepNext w:val="0"/>
                    <w:keepLines w:val="0"/>
                    <w:pageBreakBefore w:val="0"/>
                    <w:widowControl w:val="0"/>
                    <w:kinsoku/>
                    <w:wordWrap/>
                    <w:overflowPunct/>
                    <w:topLinePunct w:val="0"/>
                    <w:autoSpaceDE/>
                    <w:autoSpaceDN/>
                    <w:bidi w:val="0"/>
                    <w:adjustRightInd/>
                    <w:snapToGrid/>
                    <w:spacing w:line="240" w:lineRule="auto"/>
                    <w:ind w:right="113"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kern w:val="2"/>
                      <w:sz w:val="21"/>
                      <w:szCs w:val="21"/>
                      <w:highlight w:val="none"/>
                      <w:lang w:val="en-US" w:eastAsia="zh-CN" w:bidi="ar-SA"/>
                    </w:rPr>
                    <w:t>运输扬尘</w:t>
                  </w:r>
                </w:p>
              </w:tc>
              <w:tc>
                <w:tcPr>
                  <w:tcW w:w="1513"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790"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采用封闭车辆运输，定期洒水降尘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1" w:hRule="atLeast"/>
                <w:jc w:val="center"/>
              </w:trPr>
              <w:tc>
                <w:tcPr>
                  <w:tcW w:w="1024" w:type="dxa"/>
                  <w:vMerge w:val="restart"/>
                  <w:noWrap w:val="0"/>
                  <w:vAlign w:val="center"/>
                </w:tcPr>
                <w:p>
                  <w:pPr>
                    <w:adjustRightInd w:val="0"/>
                    <w:snapToGrid w:val="0"/>
                    <w:spacing w:line="360" w:lineRule="exact"/>
                    <w:jc w:val="center"/>
                    <w:rPr>
                      <w:color w:val="auto"/>
                      <w:szCs w:val="21"/>
                      <w:highlight w:val="none"/>
                    </w:rPr>
                  </w:pPr>
                  <w:r>
                    <w:rPr>
                      <w:color w:val="auto"/>
                      <w:szCs w:val="21"/>
                      <w:highlight w:val="none"/>
                    </w:rPr>
                    <w:t>废水</w:t>
                  </w:r>
                </w:p>
              </w:tc>
              <w:tc>
                <w:tcPr>
                  <w:tcW w:w="1234" w:type="dxa"/>
                  <w:noWrap w:val="0"/>
                  <w:vAlign w:val="center"/>
                </w:tcPr>
                <w:p>
                  <w:pPr>
                    <w:adjustRightInd w:val="0"/>
                    <w:snapToGrid w:val="0"/>
                    <w:spacing w:line="360" w:lineRule="exact"/>
                    <w:jc w:val="center"/>
                    <w:rPr>
                      <w:color w:val="auto"/>
                      <w:szCs w:val="21"/>
                      <w:highlight w:val="none"/>
                    </w:rPr>
                  </w:pPr>
                  <w:r>
                    <w:rPr>
                      <w:color w:val="auto"/>
                      <w:szCs w:val="21"/>
                      <w:highlight w:val="none"/>
                    </w:rPr>
                    <w:t>生活污水</w:t>
                  </w:r>
                </w:p>
              </w:tc>
              <w:tc>
                <w:tcPr>
                  <w:tcW w:w="1697"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w:t>
                  </w:r>
                </w:p>
              </w:tc>
              <w:tc>
                <w:tcPr>
                  <w:tcW w:w="1513"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COD、SS、BOD</w:t>
                  </w:r>
                  <w:r>
                    <w:rPr>
                      <w:rFonts w:hint="default" w:ascii="Times New Roman" w:hAnsi="Times New Roman" w:eastAsia="宋体" w:cs="Times New Roman"/>
                      <w:color w:val="auto"/>
                      <w:kern w:val="0"/>
                      <w:sz w:val="21"/>
                      <w:szCs w:val="21"/>
                      <w:highlight w:val="none"/>
                      <w:vertAlign w:val="subscript"/>
                    </w:rPr>
                    <w:t>5</w:t>
                  </w: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-N</w:t>
                  </w:r>
                </w:p>
              </w:tc>
              <w:tc>
                <w:tcPr>
                  <w:tcW w:w="2790"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排入防渗旱厕，定期清掏，外运堆肥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24" w:type="dxa"/>
                  <w:vMerge w:val="continue"/>
                  <w:noWrap w:val="0"/>
                  <w:vAlign w:val="center"/>
                </w:tcPr>
                <w:p>
                  <w:pPr>
                    <w:adjustRightInd w:val="0"/>
                    <w:snapToGrid w:val="0"/>
                    <w:spacing w:line="360" w:lineRule="exact"/>
                    <w:jc w:val="center"/>
                    <w:rPr>
                      <w:color w:val="auto"/>
                      <w:szCs w:val="21"/>
                      <w:highlight w:val="none"/>
                    </w:rPr>
                  </w:pPr>
                </w:p>
              </w:tc>
              <w:tc>
                <w:tcPr>
                  <w:tcW w:w="1234" w:type="dxa"/>
                  <w:vMerge w:val="restart"/>
                  <w:noWrap w:val="0"/>
                  <w:vAlign w:val="center"/>
                </w:tcPr>
                <w:p>
                  <w:pPr>
                    <w:adjustRightInd w:val="0"/>
                    <w:snapToGrid w:val="0"/>
                    <w:spacing w:line="360" w:lineRule="exact"/>
                    <w:jc w:val="center"/>
                    <w:rPr>
                      <w:color w:val="auto"/>
                      <w:szCs w:val="21"/>
                      <w:highlight w:val="none"/>
                    </w:rPr>
                  </w:pPr>
                  <w:r>
                    <w:rPr>
                      <w:color w:val="auto"/>
                      <w:szCs w:val="21"/>
                      <w:highlight w:val="none"/>
                    </w:rPr>
                    <w:t>生产废水</w:t>
                  </w:r>
                </w:p>
              </w:tc>
              <w:tc>
                <w:tcPr>
                  <w:tcW w:w="1697"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搅拌机冲洗废水</w:t>
                  </w:r>
                </w:p>
              </w:tc>
              <w:tc>
                <w:tcPr>
                  <w:tcW w:w="1513" w:type="dxa"/>
                  <w:vMerge w:val="restart"/>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SS</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石油类</w:t>
                  </w:r>
                </w:p>
              </w:tc>
              <w:tc>
                <w:tcPr>
                  <w:tcW w:w="2790" w:type="dxa"/>
                  <w:vMerge w:val="restart"/>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排入沉淀池，沉淀后回用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24" w:type="dxa"/>
                  <w:vMerge w:val="continue"/>
                  <w:noWrap w:val="0"/>
                  <w:vAlign w:val="center"/>
                </w:tcPr>
                <w:p>
                  <w:pPr>
                    <w:adjustRightInd w:val="0"/>
                    <w:snapToGrid w:val="0"/>
                    <w:spacing w:line="360" w:lineRule="exact"/>
                    <w:jc w:val="center"/>
                    <w:rPr>
                      <w:color w:val="auto"/>
                      <w:szCs w:val="21"/>
                      <w:highlight w:val="none"/>
                    </w:rPr>
                  </w:pPr>
                </w:p>
              </w:tc>
              <w:tc>
                <w:tcPr>
                  <w:tcW w:w="1234" w:type="dxa"/>
                  <w:vMerge w:val="continue"/>
                  <w:noWrap w:val="0"/>
                  <w:vAlign w:val="center"/>
                </w:tcPr>
                <w:p>
                  <w:pPr>
                    <w:adjustRightInd w:val="0"/>
                    <w:snapToGrid w:val="0"/>
                    <w:spacing w:line="360" w:lineRule="exact"/>
                    <w:jc w:val="center"/>
                    <w:rPr>
                      <w:color w:val="auto"/>
                      <w:szCs w:val="21"/>
                      <w:highlight w:val="none"/>
                    </w:rPr>
                  </w:pPr>
                </w:p>
              </w:tc>
              <w:tc>
                <w:tcPr>
                  <w:tcW w:w="1697"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作业带冲洗废水</w:t>
                  </w:r>
                </w:p>
              </w:tc>
              <w:tc>
                <w:tcPr>
                  <w:tcW w:w="1513" w:type="dxa"/>
                  <w:vMerge w:val="continue"/>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2790" w:type="dxa"/>
                  <w:vMerge w:val="continue"/>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1024" w:type="dxa"/>
                  <w:vMerge w:val="continue"/>
                  <w:noWrap w:val="0"/>
                  <w:vAlign w:val="center"/>
                </w:tcPr>
                <w:p>
                  <w:pPr>
                    <w:adjustRightInd w:val="0"/>
                    <w:snapToGrid w:val="0"/>
                    <w:spacing w:line="360" w:lineRule="exact"/>
                    <w:jc w:val="center"/>
                    <w:rPr>
                      <w:color w:val="auto"/>
                      <w:szCs w:val="21"/>
                      <w:highlight w:val="none"/>
                    </w:rPr>
                  </w:pPr>
                </w:p>
              </w:tc>
              <w:tc>
                <w:tcPr>
                  <w:tcW w:w="1234" w:type="dxa"/>
                  <w:vMerge w:val="continue"/>
                  <w:noWrap w:val="0"/>
                  <w:vAlign w:val="center"/>
                </w:tcPr>
                <w:p>
                  <w:pPr>
                    <w:adjustRightInd w:val="0"/>
                    <w:snapToGrid w:val="0"/>
                    <w:spacing w:line="360" w:lineRule="exact"/>
                    <w:jc w:val="center"/>
                    <w:rPr>
                      <w:color w:val="auto"/>
                      <w:szCs w:val="21"/>
                      <w:highlight w:val="none"/>
                    </w:rPr>
                  </w:pPr>
                </w:p>
              </w:tc>
              <w:tc>
                <w:tcPr>
                  <w:tcW w:w="1697"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混凝土运输车冲洗废水</w:t>
                  </w:r>
                </w:p>
              </w:tc>
              <w:tc>
                <w:tcPr>
                  <w:tcW w:w="1513" w:type="dxa"/>
                  <w:vMerge w:val="continue"/>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p>
              </w:tc>
              <w:tc>
                <w:tcPr>
                  <w:tcW w:w="2790" w:type="dxa"/>
                  <w:vMerge w:val="continue"/>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1024" w:type="dxa"/>
                  <w:vMerge w:val="continue"/>
                  <w:noWrap w:val="0"/>
                  <w:vAlign w:val="center"/>
                </w:tcPr>
                <w:p>
                  <w:pPr>
                    <w:adjustRightInd w:val="0"/>
                    <w:snapToGrid w:val="0"/>
                    <w:spacing w:line="360" w:lineRule="exact"/>
                    <w:jc w:val="center"/>
                    <w:rPr>
                      <w:color w:val="auto"/>
                      <w:szCs w:val="21"/>
                      <w:highlight w:val="none"/>
                    </w:rPr>
                  </w:pPr>
                </w:p>
              </w:tc>
              <w:tc>
                <w:tcPr>
                  <w:tcW w:w="1234" w:type="dxa"/>
                  <w:noWrap w:val="0"/>
                  <w:vAlign w:val="center"/>
                </w:tcPr>
                <w:p>
                  <w:pPr>
                    <w:adjustRightInd w:val="0"/>
                    <w:snapToGrid w:val="0"/>
                    <w:spacing w:line="360" w:lineRule="exact"/>
                    <w:jc w:val="center"/>
                    <w:rPr>
                      <w:rFonts w:hint="default" w:eastAsia="宋体"/>
                      <w:color w:val="auto"/>
                      <w:szCs w:val="21"/>
                      <w:highlight w:val="none"/>
                      <w:lang w:val="en-US" w:eastAsia="zh-CN"/>
                    </w:rPr>
                  </w:pPr>
                  <w:r>
                    <w:rPr>
                      <w:rFonts w:hint="eastAsia"/>
                      <w:color w:val="auto"/>
                      <w:szCs w:val="21"/>
                      <w:highlight w:val="none"/>
                      <w:lang w:val="en-US" w:eastAsia="zh-CN"/>
                    </w:rPr>
                    <w:t>初期雨水</w:t>
                  </w:r>
                </w:p>
              </w:tc>
              <w:tc>
                <w:tcPr>
                  <w:tcW w:w="1697"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下雨</w:t>
                  </w:r>
                </w:p>
              </w:tc>
              <w:tc>
                <w:tcPr>
                  <w:tcW w:w="1513"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SS</w:t>
                  </w:r>
                </w:p>
              </w:tc>
              <w:tc>
                <w:tcPr>
                  <w:tcW w:w="2790"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排入沉淀池，沉淀后</w:t>
                  </w:r>
                  <w:r>
                    <w:rPr>
                      <w:rFonts w:hint="eastAsia" w:ascii="Times New Roman" w:hAnsi="Times New Roman" w:eastAsia="宋体" w:cs="Times New Roman"/>
                      <w:color w:val="auto"/>
                      <w:sz w:val="21"/>
                      <w:szCs w:val="21"/>
                      <w:highlight w:val="none"/>
                      <w:lang w:val="en-US" w:eastAsia="zh-CN"/>
                    </w:rPr>
                    <w:t>用于</w:t>
                  </w:r>
                  <w:r>
                    <w:rPr>
                      <w:rFonts w:hint="eastAsia" w:cs="Times New Roman"/>
                      <w:color w:val="auto"/>
                      <w:sz w:val="21"/>
                      <w:szCs w:val="21"/>
                      <w:highlight w:val="none"/>
                      <w:lang w:val="en-US" w:eastAsia="zh-CN"/>
                    </w:rPr>
                    <w:t>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024" w:type="dxa"/>
                  <w:noWrap w:val="0"/>
                  <w:vAlign w:val="center"/>
                </w:tcPr>
                <w:p>
                  <w:pPr>
                    <w:adjustRightInd w:val="0"/>
                    <w:snapToGrid w:val="0"/>
                    <w:spacing w:line="360" w:lineRule="exact"/>
                    <w:jc w:val="center"/>
                    <w:rPr>
                      <w:color w:val="auto"/>
                      <w:szCs w:val="21"/>
                      <w:highlight w:val="none"/>
                    </w:rPr>
                  </w:pPr>
                  <w:r>
                    <w:rPr>
                      <w:color w:val="auto"/>
                      <w:szCs w:val="21"/>
                      <w:highlight w:val="none"/>
                    </w:rPr>
                    <w:t>噪声</w:t>
                  </w:r>
                </w:p>
              </w:tc>
              <w:tc>
                <w:tcPr>
                  <w:tcW w:w="1234" w:type="dxa"/>
                  <w:noWrap w:val="0"/>
                  <w:vAlign w:val="center"/>
                </w:tcPr>
                <w:p>
                  <w:pPr>
                    <w:autoSpaceDE w:val="0"/>
                    <w:autoSpaceDN w:val="0"/>
                    <w:adjustRightInd w:val="0"/>
                    <w:snapToGrid w:val="0"/>
                    <w:spacing w:line="360" w:lineRule="exact"/>
                    <w:jc w:val="center"/>
                    <w:rPr>
                      <w:color w:val="auto"/>
                      <w:kern w:val="0"/>
                      <w:szCs w:val="21"/>
                      <w:highlight w:val="none"/>
                    </w:rPr>
                  </w:pPr>
                  <w:r>
                    <w:rPr>
                      <w:color w:val="auto"/>
                      <w:kern w:val="0"/>
                      <w:szCs w:val="21"/>
                      <w:highlight w:val="none"/>
                    </w:rPr>
                    <w:t>搅拌机等机械设备</w:t>
                  </w:r>
                </w:p>
              </w:tc>
              <w:tc>
                <w:tcPr>
                  <w:tcW w:w="1697"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机械设备运行</w:t>
                  </w:r>
                </w:p>
              </w:tc>
              <w:tc>
                <w:tcPr>
                  <w:tcW w:w="1513"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机械噪声</w:t>
                  </w:r>
                </w:p>
              </w:tc>
              <w:tc>
                <w:tcPr>
                  <w:tcW w:w="2790"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隔声、减振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1024" w:type="dxa"/>
                  <w:vMerge w:val="restart"/>
                  <w:noWrap w:val="0"/>
                  <w:vAlign w:val="center"/>
                </w:tcPr>
                <w:p>
                  <w:pPr>
                    <w:adjustRightInd w:val="0"/>
                    <w:snapToGrid w:val="0"/>
                    <w:spacing w:line="360" w:lineRule="exact"/>
                    <w:jc w:val="center"/>
                    <w:rPr>
                      <w:color w:val="auto"/>
                      <w:szCs w:val="21"/>
                      <w:highlight w:val="none"/>
                    </w:rPr>
                  </w:pPr>
                  <w:r>
                    <w:rPr>
                      <w:color w:val="auto"/>
                      <w:szCs w:val="21"/>
                      <w:highlight w:val="none"/>
                    </w:rPr>
                    <w:t>固体废物</w:t>
                  </w:r>
                </w:p>
              </w:tc>
              <w:tc>
                <w:tcPr>
                  <w:tcW w:w="1234" w:type="dxa"/>
                  <w:vMerge w:val="restart"/>
                  <w:noWrap w:val="0"/>
                  <w:vAlign w:val="center"/>
                </w:tcPr>
                <w:p>
                  <w:pPr>
                    <w:adjustRightInd w:val="0"/>
                    <w:snapToGrid w:val="0"/>
                    <w:spacing w:line="360" w:lineRule="exact"/>
                    <w:jc w:val="center"/>
                    <w:rPr>
                      <w:color w:val="auto"/>
                      <w:szCs w:val="21"/>
                      <w:highlight w:val="none"/>
                    </w:rPr>
                  </w:pPr>
                  <w:r>
                    <w:rPr>
                      <w:color w:val="auto"/>
                      <w:szCs w:val="21"/>
                      <w:highlight w:val="none"/>
                    </w:rPr>
                    <w:t>生产废物</w:t>
                  </w:r>
                </w:p>
              </w:tc>
              <w:tc>
                <w:tcPr>
                  <w:tcW w:w="1697" w:type="dxa"/>
                  <w:vMerge w:val="restart"/>
                  <w:noWrap w:val="0"/>
                  <w:vAlign w:val="center"/>
                </w:tcPr>
                <w:p>
                  <w:pPr>
                    <w:pStyle w:val="134"/>
                    <w:keepNext w:val="0"/>
                    <w:keepLines w:val="0"/>
                    <w:pageBreakBefore w:val="0"/>
                    <w:kinsoku/>
                    <w:wordWrap/>
                    <w:overflowPunct/>
                    <w:topLinePunct w:val="0"/>
                    <w:bidi w:val="0"/>
                    <w:adjustRightInd w:val="0"/>
                    <w:snapToGrid w:val="0"/>
                    <w:spacing w:before="24" w:after="24"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除尘器</w:t>
                  </w:r>
                </w:p>
              </w:tc>
              <w:tc>
                <w:tcPr>
                  <w:tcW w:w="1513" w:type="dxa"/>
                  <w:noWrap w:val="0"/>
                  <w:vAlign w:val="center"/>
                </w:tcPr>
                <w:p>
                  <w:pPr>
                    <w:pStyle w:val="134"/>
                    <w:keepNext w:val="0"/>
                    <w:keepLines w:val="0"/>
                    <w:pageBreakBefore w:val="0"/>
                    <w:kinsoku/>
                    <w:wordWrap/>
                    <w:overflowPunct/>
                    <w:topLinePunct w:val="0"/>
                    <w:bidi w:val="0"/>
                    <w:adjustRightInd w:val="0"/>
                    <w:snapToGrid w:val="0"/>
                    <w:spacing w:before="24" w:after="24"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除尘器收尘</w:t>
                  </w:r>
                </w:p>
              </w:tc>
              <w:tc>
                <w:tcPr>
                  <w:tcW w:w="2790" w:type="dxa"/>
                  <w:noWrap w:val="0"/>
                  <w:vAlign w:val="center"/>
                </w:tcPr>
                <w:p>
                  <w:pPr>
                    <w:pStyle w:val="134"/>
                    <w:keepNext w:val="0"/>
                    <w:keepLines w:val="0"/>
                    <w:pageBreakBefore w:val="0"/>
                    <w:kinsoku/>
                    <w:wordWrap/>
                    <w:overflowPunct/>
                    <w:topLinePunct w:val="0"/>
                    <w:bidi w:val="0"/>
                    <w:adjustRightInd w:val="0"/>
                    <w:snapToGrid w:val="0"/>
                    <w:spacing w:before="24" w:after="24"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1024" w:type="dxa"/>
                  <w:vMerge w:val="continue"/>
                  <w:noWrap w:val="0"/>
                  <w:vAlign w:val="center"/>
                </w:tcPr>
                <w:p>
                  <w:pPr>
                    <w:pStyle w:val="134"/>
                    <w:adjustRightInd w:val="0"/>
                    <w:snapToGrid w:val="0"/>
                    <w:spacing w:before="24" w:after="24" w:line="360" w:lineRule="exact"/>
                    <w:rPr>
                      <w:color w:val="auto"/>
                      <w:highlight w:val="none"/>
                    </w:rPr>
                  </w:pPr>
                </w:p>
              </w:tc>
              <w:tc>
                <w:tcPr>
                  <w:tcW w:w="1234" w:type="dxa"/>
                  <w:vMerge w:val="continue"/>
                  <w:noWrap w:val="0"/>
                  <w:vAlign w:val="center"/>
                </w:tcPr>
                <w:p>
                  <w:pPr>
                    <w:pStyle w:val="134"/>
                    <w:adjustRightInd w:val="0"/>
                    <w:snapToGrid w:val="0"/>
                    <w:spacing w:before="24" w:after="24" w:line="360" w:lineRule="exact"/>
                    <w:rPr>
                      <w:color w:val="auto"/>
                      <w:highlight w:val="none"/>
                    </w:rPr>
                  </w:pPr>
                </w:p>
              </w:tc>
              <w:tc>
                <w:tcPr>
                  <w:tcW w:w="1697" w:type="dxa"/>
                  <w:vMerge w:val="continue"/>
                  <w:noWrap w:val="0"/>
                  <w:vAlign w:val="center"/>
                </w:tcPr>
                <w:p>
                  <w:pPr>
                    <w:pStyle w:val="134"/>
                    <w:keepNext w:val="0"/>
                    <w:keepLines w:val="0"/>
                    <w:pageBreakBefore w:val="0"/>
                    <w:kinsoku/>
                    <w:wordWrap/>
                    <w:overflowPunct/>
                    <w:topLinePunct w:val="0"/>
                    <w:bidi w:val="0"/>
                    <w:adjustRightInd w:val="0"/>
                    <w:snapToGrid w:val="0"/>
                    <w:spacing w:before="24" w:after="24" w:line="240" w:lineRule="auto"/>
                    <w:textAlignment w:val="auto"/>
                    <w:rPr>
                      <w:rFonts w:hint="default" w:ascii="Times New Roman" w:hAnsi="Times New Roman" w:eastAsia="宋体" w:cs="Times New Roman"/>
                      <w:color w:val="auto"/>
                      <w:sz w:val="21"/>
                      <w:szCs w:val="21"/>
                      <w:highlight w:val="none"/>
                    </w:rPr>
                  </w:pPr>
                </w:p>
              </w:tc>
              <w:tc>
                <w:tcPr>
                  <w:tcW w:w="1513" w:type="dxa"/>
                  <w:noWrap w:val="0"/>
                  <w:vAlign w:val="center"/>
                </w:tcPr>
                <w:p>
                  <w:pPr>
                    <w:pStyle w:val="134"/>
                    <w:keepNext w:val="0"/>
                    <w:keepLines w:val="0"/>
                    <w:pageBreakBefore w:val="0"/>
                    <w:kinsoku/>
                    <w:wordWrap/>
                    <w:overflowPunct/>
                    <w:topLinePunct w:val="0"/>
                    <w:bidi w:val="0"/>
                    <w:adjustRightInd w:val="0"/>
                    <w:snapToGrid w:val="0"/>
                    <w:spacing w:before="24" w:after="24"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废布袋</w:t>
                  </w:r>
                </w:p>
              </w:tc>
              <w:tc>
                <w:tcPr>
                  <w:tcW w:w="2790" w:type="dxa"/>
                  <w:noWrap w:val="0"/>
                  <w:vAlign w:val="center"/>
                </w:tcPr>
                <w:p>
                  <w:pPr>
                    <w:pStyle w:val="134"/>
                    <w:keepNext w:val="0"/>
                    <w:keepLines w:val="0"/>
                    <w:pageBreakBefore w:val="0"/>
                    <w:kinsoku/>
                    <w:wordWrap/>
                    <w:overflowPunct/>
                    <w:topLinePunct w:val="0"/>
                    <w:bidi w:val="0"/>
                    <w:adjustRightInd w:val="0"/>
                    <w:snapToGrid w:val="0"/>
                    <w:spacing w:before="24" w:after="24" w:line="240" w:lineRule="auto"/>
                    <w:textAlignment w:val="auto"/>
                    <w:rPr>
                      <w:rFonts w:hint="default" w:ascii="Times New Roman" w:hAnsi="Times New Roman" w:eastAsia="宋体" w:cs="Times New Roman"/>
                      <w:color w:val="auto"/>
                      <w:sz w:val="21"/>
                      <w:szCs w:val="21"/>
                      <w:highlight w:val="none"/>
                      <w:lang w:val="en-US"/>
                    </w:rPr>
                  </w:pPr>
                  <w:r>
                    <w:rPr>
                      <w:rFonts w:hint="eastAsia" w:eastAsia="宋体" w:cs="Times New Roman"/>
                      <w:color w:val="auto"/>
                      <w:sz w:val="21"/>
                      <w:szCs w:val="21"/>
                      <w:highlight w:val="none"/>
                      <w:lang w:val="en-US" w:eastAsia="zh-CN"/>
                    </w:rPr>
                    <w:t>由厂家回收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024" w:type="dxa"/>
                  <w:vMerge w:val="continue"/>
                  <w:noWrap w:val="0"/>
                  <w:vAlign w:val="center"/>
                </w:tcPr>
                <w:p>
                  <w:pPr>
                    <w:adjustRightInd w:val="0"/>
                    <w:snapToGrid w:val="0"/>
                    <w:spacing w:line="360" w:lineRule="exact"/>
                    <w:jc w:val="center"/>
                    <w:rPr>
                      <w:color w:val="auto"/>
                      <w:szCs w:val="21"/>
                      <w:highlight w:val="none"/>
                    </w:rPr>
                  </w:pPr>
                </w:p>
              </w:tc>
              <w:tc>
                <w:tcPr>
                  <w:tcW w:w="1234" w:type="dxa"/>
                  <w:vMerge w:val="continue"/>
                  <w:noWrap w:val="0"/>
                  <w:vAlign w:val="center"/>
                </w:tcPr>
                <w:p>
                  <w:pPr>
                    <w:adjustRightInd w:val="0"/>
                    <w:snapToGrid w:val="0"/>
                    <w:spacing w:line="360" w:lineRule="exact"/>
                    <w:jc w:val="center"/>
                    <w:rPr>
                      <w:color w:val="auto"/>
                      <w:szCs w:val="21"/>
                      <w:highlight w:val="none"/>
                    </w:rPr>
                  </w:pPr>
                </w:p>
              </w:tc>
              <w:tc>
                <w:tcPr>
                  <w:tcW w:w="1697"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沉淀池</w:t>
                  </w:r>
                </w:p>
              </w:tc>
              <w:tc>
                <w:tcPr>
                  <w:tcW w:w="1513"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沉淀池沉渣</w:t>
                  </w:r>
                </w:p>
              </w:tc>
              <w:tc>
                <w:tcPr>
                  <w:tcW w:w="2790"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1024" w:type="dxa"/>
                  <w:vMerge w:val="continue"/>
                  <w:noWrap w:val="0"/>
                  <w:vAlign w:val="center"/>
                </w:tcPr>
                <w:p>
                  <w:pPr>
                    <w:adjustRightInd w:val="0"/>
                    <w:snapToGrid w:val="0"/>
                    <w:spacing w:line="360" w:lineRule="exact"/>
                    <w:jc w:val="center"/>
                    <w:rPr>
                      <w:color w:val="auto"/>
                      <w:szCs w:val="21"/>
                      <w:highlight w:val="none"/>
                    </w:rPr>
                  </w:pPr>
                </w:p>
              </w:tc>
              <w:tc>
                <w:tcPr>
                  <w:tcW w:w="1234" w:type="dxa"/>
                  <w:vMerge w:val="continue"/>
                  <w:noWrap w:val="0"/>
                  <w:vAlign w:val="center"/>
                </w:tcPr>
                <w:p>
                  <w:pPr>
                    <w:adjustRightInd w:val="0"/>
                    <w:snapToGrid w:val="0"/>
                    <w:spacing w:line="360" w:lineRule="exact"/>
                    <w:jc w:val="center"/>
                    <w:rPr>
                      <w:color w:val="auto"/>
                      <w:szCs w:val="21"/>
                      <w:highlight w:val="none"/>
                    </w:rPr>
                  </w:pPr>
                </w:p>
              </w:tc>
              <w:tc>
                <w:tcPr>
                  <w:tcW w:w="1697"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实验室</w:t>
                  </w:r>
                </w:p>
              </w:tc>
              <w:tc>
                <w:tcPr>
                  <w:tcW w:w="1513"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实验室</w:t>
                  </w:r>
                  <w:r>
                    <w:rPr>
                      <w:rFonts w:hint="default" w:ascii="Times New Roman" w:hAnsi="Times New Roman" w:eastAsia="宋体" w:cs="Times New Roman"/>
                      <w:color w:val="auto"/>
                      <w:sz w:val="21"/>
                      <w:szCs w:val="21"/>
                      <w:highlight w:val="none"/>
                    </w:rPr>
                    <w:t>废料</w:t>
                  </w:r>
                </w:p>
              </w:tc>
              <w:tc>
                <w:tcPr>
                  <w:tcW w:w="2790"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外售用于修筑道路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jc w:val="center"/>
              </w:trPr>
              <w:tc>
                <w:tcPr>
                  <w:tcW w:w="1024" w:type="dxa"/>
                  <w:vMerge w:val="continue"/>
                  <w:noWrap w:val="0"/>
                  <w:vAlign w:val="center"/>
                </w:tcPr>
                <w:p>
                  <w:pPr>
                    <w:adjustRightInd w:val="0"/>
                    <w:snapToGrid w:val="0"/>
                    <w:spacing w:line="360" w:lineRule="exact"/>
                    <w:jc w:val="center"/>
                    <w:rPr>
                      <w:color w:val="auto"/>
                      <w:szCs w:val="21"/>
                      <w:highlight w:val="none"/>
                    </w:rPr>
                  </w:pPr>
                </w:p>
              </w:tc>
              <w:tc>
                <w:tcPr>
                  <w:tcW w:w="1234" w:type="dxa"/>
                  <w:noWrap w:val="0"/>
                  <w:vAlign w:val="center"/>
                </w:tcPr>
                <w:p>
                  <w:pPr>
                    <w:adjustRightInd w:val="0"/>
                    <w:snapToGrid w:val="0"/>
                    <w:spacing w:line="360" w:lineRule="exact"/>
                    <w:jc w:val="center"/>
                    <w:rPr>
                      <w:rFonts w:hint="eastAsia" w:eastAsia="宋体"/>
                      <w:color w:val="auto"/>
                      <w:szCs w:val="21"/>
                      <w:highlight w:val="none"/>
                      <w:lang w:eastAsia="zh-CN"/>
                    </w:rPr>
                  </w:pPr>
                  <w:r>
                    <w:rPr>
                      <w:rFonts w:hint="eastAsia"/>
                      <w:color w:val="auto"/>
                      <w:szCs w:val="21"/>
                      <w:highlight w:val="none"/>
                      <w:lang w:eastAsia="zh-CN"/>
                    </w:rPr>
                    <w:t>职工</w:t>
                  </w:r>
                </w:p>
              </w:tc>
              <w:tc>
                <w:tcPr>
                  <w:tcW w:w="1697"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513"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2790" w:type="dxa"/>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集中收集，环卫部门统一处理</w:t>
                  </w:r>
                </w:p>
              </w:tc>
            </w:tr>
          </w:tbl>
          <w:p>
            <w:pPr>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54" w:hRule="atLeast"/>
          <w:jc w:val="center"/>
        </w:trPr>
        <w:tc>
          <w:tcPr>
            <w:tcW w:w="877" w:type="dxa"/>
            <w:vAlign w:val="center"/>
          </w:tcPr>
          <w:p>
            <w:pPr>
              <w:pStyle w:val="28"/>
              <w:adjustRightInd w:val="0"/>
              <w:snapToGrid w:val="0"/>
              <w:spacing w:before="0" w:beforeAutospacing="0" w:after="0" w:afterAutospacing="0"/>
              <w:jc w:val="center"/>
              <w:rPr>
                <w:rFonts w:ascii="Times New Roman" w:hAnsi="Times New Roman"/>
                <w:b/>
                <w:color w:val="auto"/>
                <w:kern w:val="2"/>
                <w:szCs w:val="24"/>
                <w:highlight w:val="none"/>
              </w:rPr>
            </w:pPr>
            <w:r>
              <w:rPr>
                <w:rFonts w:ascii="Times New Roman" w:hAnsi="Times New Roman"/>
                <w:b/>
                <w:color w:val="auto"/>
                <w:kern w:val="2"/>
                <w:szCs w:val="24"/>
                <w:highlight w:val="none"/>
              </w:rPr>
              <w:t>与项目有关的原有环境污染问题</w:t>
            </w:r>
          </w:p>
          <w:p>
            <w:pPr>
              <w:pStyle w:val="28"/>
              <w:adjustRightInd w:val="0"/>
              <w:snapToGrid w:val="0"/>
              <w:spacing w:before="0" w:beforeAutospacing="0" w:after="0" w:afterAutospacing="0"/>
              <w:jc w:val="both"/>
              <w:rPr>
                <w:rFonts w:ascii="Times New Roman" w:hAnsi="Times New Roman"/>
                <w:b/>
                <w:color w:val="auto"/>
                <w:kern w:val="2"/>
                <w:szCs w:val="24"/>
                <w:highlight w:val="none"/>
              </w:rPr>
            </w:pPr>
          </w:p>
        </w:tc>
        <w:tc>
          <w:tcPr>
            <w:tcW w:w="8477"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highlight w:val="none"/>
                <w:lang w:eastAsia="zh-CN"/>
              </w:rPr>
            </w:pPr>
            <w:r>
              <w:rPr>
                <w:rFonts w:hint="default" w:ascii="Times New Roman" w:hAnsi="Times New Roman" w:cs="Times New Roman"/>
                <w:color w:val="auto"/>
                <w:sz w:val="24"/>
                <w:szCs w:val="24"/>
                <w:highlight w:val="none"/>
                <w:lang w:val="en-US" w:eastAsia="zh-CN"/>
              </w:rPr>
              <w:t>本项目为新建项目，无原有环境污染问题。</w:t>
            </w:r>
          </w:p>
        </w:tc>
      </w:tr>
    </w:tbl>
    <w:p>
      <w:pPr>
        <w:pStyle w:val="28"/>
        <w:jc w:val="center"/>
        <w:rPr>
          <w:rFonts w:ascii="Times New Roman" w:hAnsi="Times New Roman"/>
          <w:snapToGrid w:val="0"/>
          <w:color w:val="auto"/>
          <w:sz w:val="36"/>
          <w:szCs w:val="36"/>
          <w:highlight w:val="none"/>
        </w:rPr>
        <w:sectPr>
          <w:footerReference r:id="rId6" w:type="default"/>
          <w:pgSz w:w="11906" w:h="16838"/>
          <w:pgMar w:top="1247" w:right="1531" w:bottom="1361" w:left="1531" w:header="851" w:footer="851" w:gutter="0"/>
          <w:pgBorders>
            <w:top w:val="none" w:sz="0" w:space="0"/>
            <w:left w:val="none" w:sz="0" w:space="0"/>
            <w:bottom w:val="none" w:sz="0" w:space="0"/>
            <w:right w:val="none" w:sz="0" w:space="0"/>
          </w:pgBorders>
          <w:cols w:space="720" w:num="1"/>
          <w:docGrid w:linePitch="312" w:charSpace="0"/>
        </w:sectPr>
      </w:pPr>
    </w:p>
    <w:p>
      <w:pPr>
        <w:pStyle w:val="28"/>
        <w:spacing w:before="0" w:beforeAutospacing="0" w:after="0" w:afterAutospacing="0"/>
        <w:jc w:val="center"/>
        <w:outlineLvl w:val="0"/>
        <w:rPr>
          <w:rFonts w:ascii="Times New Roman" w:hAnsi="Times New Roman"/>
          <w:b/>
          <w:bCs/>
          <w:snapToGrid w:val="0"/>
          <w:color w:val="auto"/>
          <w:sz w:val="30"/>
          <w:szCs w:val="30"/>
          <w:highlight w:val="none"/>
        </w:rPr>
      </w:pPr>
      <w:bookmarkStart w:id="18" w:name="_Toc27793"/>
      <w:r>
        <w:rPr>
          <w:rFonts w:ascii="Times New Roman" w:hAnsi="Times New Roman"/>
          <w:b/>
          <w:bCs/>
          <w:snapToGrid w:val="0"/>
          <w:color w:val="auto"/>
          <w:sz w:val="30"/>
          <w:szCs w:val="30"/>
          <w:highlight w:val="none"/>
        </w:rPr>
        <w:t>三、区域环境质量现状、环境保护目标及评价标准</w:t>
      </w:r>
      <w:bookmarkEnd w:id="18"/>
    </w:p>
    <w:tbl>
      <w:tblPr>
        <w:tblStyle w:val="32"/>
        <w:tblW w:w="90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6"/>
        <w:gridCol w:w="82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57" w:hRule="atLeast"/>
          <w:jc w:val="center"/>
        </w:trPr>
        <w:tc>
          <w:tcPr>
            <w:tcW w:w="806" w:type="dxa"/>
            <w:vAlign w:val="center"/>
          </w:tcPr>
          <w:p>
            <w:pPr>
              <w:adjustRightInd w:val="0"/>
              <w:snapToGrid w:val="0"/>
              <w:jc w:val="center"/>
              <w:rPr>
                <w:b/>
                <w:bCs/>
                <w:color w:val="auto"/>
                <w:kern w:val="0"/>
                <w:sz w:val="24"/>
                <w:szCs w:val="24"/>
                <w:highlight w:val="none"/>
              </w:rPr>
            </w:pPr>
            <w:r>
              <w:rPr>
                <w:b/>
                <w:bCs/>
                <w:color w:val="auto"/>
                <w:kern w:val="0"/>
                <w:sz w:val="24"/>
                <w:szCs w:val="24"/>
                <w:highlight w:val="none"/>
              </w:rPr>
              <w:t>区域</w:t>
            </w:r>
          </w:p>
          <w:p>
            <w:pPr>
              <w:adjustRightInd w:val="0"/>
              <w:snapToGrid w:val="0"/>
              <w:jc w:val="center"/>
              <w:rPr>
                <w:b/>
                <w:bCs/>
                <w:color w:val="auto"/>
                <w:kern w:val="0"/>
                <w:sz w:val="24"/>
                <w:szCs w:val="24"/>
                <w:highlight w:val="none"/>
              </w:rPr>
            </w:pPr>
            <w:r>
              <w:rPr>
                <w:b/>
                <w:bCs/>
                <w:color w:val="auto"/>
                <w:kern w:val="0"/>
                <w:sz w:val="24"/>
                <w:szCs w:val="24"/>
                <w:highlight w:val="none"/>
              </w:rPr>
              <w:t>环境</w:t>
            </w:r>
          </w:p>
          <w:p>
            <w:pPr>
              <w:adjustRightInd w:val="0"/>
              <w:snapToGrid w:val="0"/>
              <w:jc w:val="center"/>
              <w:rPr>
                <w:b/>
                <w:bCs/>
                <w:color w:val="auto"/>
                <w:kern w:val="0"/>
                <w:sz w:val="24"/>
                <w:szCs w:val="24"/>
                <w:highlight w:val="none"/>
              </w:rPr>
            </w:pPr>
            <w:r>
              <w:rPr>
                <w:b/>
                <w:bCs/>
                <w:color w:val="auto"/>
                <w:kern w:val="0"/>
                <w:sz w:val="24"/>
                <w:szCs w:val="24"/>
                <w:highlight w:val="none"/>
              </w:rPr>
              <w:t>质量</w:t>
            </w:r>
          </w:p>
          <w:p>
            <w:pPr>
              <w:adjustRightInd w:val="0"/>
              <w:snapToGrid w:val="0"/>
              <w:jc w:val="center"/>
              <w:rPr>
                <w:color w:val="auto"/>
                <w:kern w:val="0"/>
                <w:szCs w:val="21"/>
                <w:highlight w:val="none"/>
              </w:rPr>
            </w:pPr>
            <w:r>
              <w:rPr>
                <w:b/>
                <w:bCs/>
                <w:color w:val="auto"/>
                <w:kern w:val="0"/>
                <w:sz w:val="24"/>
                <w:szCs w:val="24"/>
                <w:highlight w:val="none"/>
              </w:rPr>
              <w:t>现状</w:t>
            </w:r>
          </w:p>
        </w:tc>
        <w:tc>
          <w:tcPr>
            <w:tcW w:w="825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bCs/>
                <w:color w:val="auto"/>
                <w:sz w:val="24"/>
                <w:szCs w:val="24"/>
                <w:highlight w:val="none"/>
              </w:rPr>
            </w:pPr>
            <w:r>
              <w:rPr>
                <w:b/>
                <w:color w:val="auto"/>
                <w:sz w:val="24"/>
                <w:highlight w:val="none"/>
              </w:rPr>
              <w:t>一、大气环境</w:t>
            </w:r>
            <w:r>
              <w:rPr>
                <w:b/>
                <w:bCs/>
                <w:color w:val="auto"/>
                <w:sz w:val="24"/>
                <w:highlight w:val="none"/>
                <w:lang w:val="zh-CN"/>
              </w:rPr>
              <w:t>质量现状</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ascii="Times New Roman" w:hAnsi="Times New Roman"/>
                <w:color w:val="auto"/>
                <w:sz w:val="24"/>
                <w:szCs w:val="24"/>
                <w:highlight w:val="none"/>
              </w:rPr>
            </w:pPr>
            <w:r>
              <w:rPr>
                <w:rFonts w:ascii="Times New Roman" w:hAnsi="Times New Roman"/>
                <w:bCs/>
                <w:color w:val="auto"/>
                <w:sz w:val="24"/>
                <w:szCs w:val="24"/>
                <w:highlight w:val="none"/>
              </w:rPr>
              <w:t>项目所在区域达标判定，优先采用国家或地方生态环境主管部门公开发布的评价基准年环境质量公告或环境质量报告中的数据或结论。</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bookmarkStart w:id="19" w:name="_Hlk96878947"/>
            <w:bookmarkStart w:id="20" w:name="_Hlk144365351"/>
            <w:r>
              <w:rPr>
                <w:rFonts w:hint="default" w:ascii="Times New Roman" w:hAnsi="Times New Roman" w:eastAsia="宋体" w:cs="Times New Roman"/>
                <w:bCs/>
                <w:color w:val="auto"/>
                <w:sz w:val="24"/>
                <w:szCs w:val="24"/>
                <w:highlight w:val="none"/>
                <w:lang w:val="en-US" w:eastAsia="zh-CN"/>
              </w:rPr>
              <w:t>1</w:t>
            </w:r>
            <w:r>
              <w:rPr>
                <w:rFonts w:hint="eastAsia" w:ascii="Times New Roman" w:hAnsi="Times New Roman" w:eastAsia="宋体" w:cs="Times New Roman"/>
                <w:bCs/>
                <w:color w:val="auto"/>
                <w:sz w:val="24"/>
                <w:szCs w:val="24"/>
                <w:highlight w:val="none"/>
                <w:lang w:val="en-US" w:eastAsia="zh-CN"/>
              </w:rPr>
              <w:t>、基本污染物</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本项目位于</w:t>
            </w:r>
            <w:r>
              <w:rPr>
                <w:rFonts w:hint="eastAsia" w:cs="Times New Roman"/>
                <w:bCs/>
                <w:color w:val="auto"/>
                <w:sz w:val="24"/>
                <w:szCs w:val="24"/>
                <w:highlight w:val="none"/>
                <w:lang w:val="en-US" w:eastAsia="zh-CN"/>
              </w:rPr>
              <w:t>伊春市嘉荫县旧城村</w:t>
            </w:r>
            <w:r>
              <w:rPr>
                <w:rFonts w:hint="eastAsia" w:ascii="Times New Roman" w:hAnsi="Times New Roman" w:eastAsia="宋体" w:cs="Times New Roman"/>
                <w:bCs/>
                <w:color w:val="auto"/>
                <w:sz w:val="24"/>
                <w:szCs w:val="24"/>
                <w:highlight w:val="none"/>
                <w:lang w:val="en-US" w:eastAsia="zh-CN"/>
              </w:rPr>
              <w:t>。本次项目区域环境空气质量引用《202</w:t>
            </w:r>
            <w:r>
              <w:rPr>
                <w:rFonts w:hint="eastAsia" w:cs="Times New Roman"/>
                <w:bCs/>
                <w:color w:val="auto"/>
                <w:sz w:val="24"/>
                <w:szCs w:val="24"/>
                <w:highlight w:val="none"/>
                <w:lang w:val="en-US" w:eastAsia="zh-CN"/>
              </w:rPr>
              <w:t>4</w:t>
            </w:r>
            <w:r>
              <w:rPr>
                <w:rFonts w:hint="eastAsia" w:ascii="Times New Roman" w:hAnsi="Times New Roman" w:eastAsia="宋体" w:cs="Times New Roman"/>
                <w:bCs/>
                <w:color w:val="auto"/>
                <w:sz w:val="24"/>
                <w:szCs w:val="24"/>
                <w:highlight w:val="none"/>
                <w:lang w:val="en-US" w:eastAsia="zh-CN"/>
              </w:rPr>
              <w:t>年</w:t>
            </w:r>
            <w:r>
              <w:rPr>
                <w:rFonts w:hint="eastAsia" w:cs="Times New Roman"/>
                <w:bCs/>
                <w:color w:val="auto"/>
                <w:sz w:val="24"/>
                <w:szCs w:val="24"/>
                <w:highlight w:val="none"/>
                <w:lang w:val="en-US" w:eastAsia="zh-CN"/>
              </w:rPr>
              <w:t>伊春</w:t>
            </w:r>
            <w:r>
              <w:rPr>
                <w:rFonts w:hint="eastAsia" w:ascii="Times New Roman" w:hAnsi="Times New Roman" w:eastAsia="宋体" w:cs="Times New Roman"/>
                <w:bCs/>
                <w:color w:val="auto"/>
                <w:sz w:val="24"/>
                <w:szCs w:val="24"/>
                <w:highlight w:val="none"/>
                <w:lang w:val="en-US" w:eastAsia="zh-CN"/>
              </w:rPr>
              <w:t>市生态环境状况公报》。202</w:t>
            </w:r>
            <w:r>
              <w:rPr>
                <w:rFonts w:hint="eastAsia" w:cs="Times New Roman"/>
                <w:bCs/>
                <w:color w:val="auto"/>
                <w:sz w:val="24"/>
                <w:szCs w:val="24"/>
                <w:highlight w:val="none"/>
                <w:lang w:val="en-US" w:eastAsia="zh-CN"/>
              </w:rPr>
              <w:t>4</w:t>
            </w:r>
            <w:r>
              <w:rPr>
                <w:rFonts w:hint="eastAsia" w:ascii="Times New Roman" w:hAnsi="Times New Roman" w:eastAsia="宋体" w:cs="Times New Roman"/>
                <w:bCs/>
                <w:color w:val="auto"/>
                <w:sz w:val="24"/>
                <w:szCs w:val="24"/>
                <w:highlight w:val="none"/>
                <w:lang w:val="en-US" w:eastAsia="zh-CN"/>
              </w:rPr>
              <w:t>年，</w:t>
            </w:r>
            <w:r>
              <w:rPr>
                <w:rFonts w:hint="eastAsia" w:cs="Times New Roman"/>
                <w:bCs/>
                <w:color w:val="auto"/>
                <w:sz w:val="24"/>
                <w:szCs w:val="24"/>
                <w:highlight w:val="none"/>
                <w:lang w:val="en-US" w:eastAsia="zh-CN"/>
              </w:rPr>
              <w:t>伊春</w:t>
            </w:r>
            <w:r>
              <w:rPr>
                <w:rFonts w:hint="eastAsia" w:ascii="Times New Roman" w:hAnsi="Times New Roman" w:eastAsia="宋体" w:cs="Times New Roman"/>
                <w:bCs/>
                <w:color w:val="auto"/>
                <w:sz w:val="24"/>
                <w:szCs w:val="24"/>
                <w:highlight w:val="none"/>
                <w:lang w:val="en-US" w:eastAsia="zh-CN"/>
              </w:rPr>
              <w:t>市共进行了36</w:t>
            </w:r>
            <w:r>
              <w:rPr>
                <w:rFonts w:hint="eastAsia" w:cs="Times New Roman"/>
                <w:bCs/>
                <w:color w:val="auto"/>
                <w:sz w:val="24"/>
                <w:szCs w:val="24"/>
                <w:highlight w:val="none"/>
                <w:lang w:val="en-US" w:eastAsia="zh-CN"/>
              </w:rPr>
              <w:t>6</w:t>
            </w:r>
            <w:r>
              <w:rPr>
                <w:rFonts w:hint="eastAsia" w:ascii="Times New Roman" w:hAnsi="Times New Roman" w:eastAsia="宋体" w:cs="Times New Roman"/>
                <w:bCs/>
                <w:color w:val="auto"/>
                <w:sz w:val="24"/>
                <w:szCs w:val="24"/>
                <w:highlight w:val="none"/>
                <w:lang w:val="en-US" w:eastAsia="zh-CN"/>
              </w:rPr>
              <w:t>天有效环境空气质量自动监测，其中：全年环境空气质量优良天数为3</w:t>
            </w:r>
            <w:r>
              <w:rPr>
                <w:rFonts w:hint="eastAsia" w:cs="Times New Roman"/>
                <w:bCs/>
                <w:color w:val="auto"/>
                <w:sz w:val="24"/>
                <w:szCs w:val="24"/>
                <w:highlight w:val="none"/>
                <w:lang w:val="en-US" w:eastAsia="zh-CN"/>
              </w:rPr>
              <w:t>59</w:t>
            </w:r>
            <w:r>
              <w:rPr>
                <w:rFonts w:hint="eastAsia" w:ascii="Times New Roman" w:hAnsi="Times New Roman" w:eastAsia="宋体" w:cs="Times New Roman"/>
                <w:bCs/>
                <w:color w:val="auto"/>
                <w:sz w:val="24"/>
                <w:szCs w:val="24"/>
                <w:highlight w:val="none"/>
                <w:lang w:val="en-US" w:eastAsia="zh-CN"/>
              </w:rPr>
              <w:t>天，优良天数比例为</w:t>
            </w:r>
            <w:r>
              <w:rPr>
                <w:rFonts w:hint="eastAsia" w:cs="Times New Roman"/>
                <w:bCs/>
                <w:color w:val="auto"/>
                <w:sz w:val="24"/>
                <w:szCs w:val="24"/>
                <w:highlight w:val="none"/>
                <w:lang w:val="en-US" w:eastAsia="zh-CN"/>
              </w:rPr>
              <w:t>98.1</w:t>
            </w:r>
            <w:r>
              <w:rPr>
                <w:rFonts w:hint="eastAsia" w:ascii="Times New Roman" w:hAnsi="Times New Roman" w:eastAsia="宋体" w:cs="Times New Roman"/>
                <w:bCs/>
                <w:color w:val="auto"/>
                <w:sz w:val="24"/>
                <w:szCs w:val="24"/>
                <w:highlight w:val="none"/>
                <w:lang w:val="en-US" w:eastAsia="zh-CN"/>
              </w:rPr>
              <w:t>%。基本污染物现状监测结果经统计列于表</w:t>
            </w:r>
            <w:r>
              <w:rPr>
                <w:rFonts w:hint="default" w:ascii="Times New Roman" w:hAnsi="Times New Roman" w:eastAsia="宋体" w:cs="Times New Roman"/>
                <w:bCs/>
                <w:color w:val="auto"/>
                <w:sz w:val="24"/>
                <w:szCs w:val="24"/>
                <w:highlight w:val="none"/>
                <w:lang w:val="en-US" w:eastAsia="zh-CN"/>
              </w:rPr>
              <w:t>3</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1</w:t>
            </w:r>
            <w:r>
              <w:rPr>
                <w:rFonts w:hint="eastAsia" w:ascii="Times New Roman" w:hAnsi="Times New Roman" w:eastAsia="宋体" w:cs="Times New Roman"/>
                <w:bCs/>
                <w:color w:val="auto"/>
                <w:sz w:val="24"/>
                <w:szCs w:val="24"/>
                <w:highlight w:val="none"/>
                <w:lang w:val="en-US" w:eastAsia="zh-CN"/>
              </w:rPr>
              <w:t>中。</w:t>
            </w:r>
          </w:p>
          <w:p>
            <w:pPr>
              <w:pStyle w:val="49"/>
              <w:jc w:val="center"/>
              <w:rPr>
                <w:rFonts w:hint="default" w:ascii="Times New Roman" w:hAnsi="Times New Roman" w:eastAsia="宋体" w:cs="Times New Roman"/>
                <w:b/>
                <w:color w:val="auto"/>
                <w:kern w:val="0"/>
                <w:sz w:val="24"/>
                <w:szCs w:val="20"/>
                <w:highlight w:val="none"/>
                <w:lang w:val="en-US" w:eastAsia="zh-CN" w:bidi="ar-SA"/>
              </w:rPr>
            </w:pPr>
            <w:r>
              <w:rPr>
                <w:rFonts w:ascii="Times New Roman" w:hAnsi="Times New Roman" w:eastAsia="宋体" w:cs="Times New Roman"/>
                <w:b/>
                <w:color w:val="auto"/>
                <w:kern w:val="0"/>
                <w:sz w:val="24"/>
                <w:szCs w:val="20"/>
                <w:highlight w:val="none"/>
                <w:lang w:val="en-US" w:eastAsia="zh-CN" w:bidi="ar-SA"/>
              </w:rPr>
              <w:t>表</w:t>
            </w:r>
            <w:r>
              <w:rPr>
                <w:rFonts w:hint="default" w:ascii="Times New Roman" w:hAnsi="Times New Roman" w:eastAsia="宋体" w:cs="Times New Roman"/>
                <w:b/>
                <w:color w:val="auto"/>
                <w:kern w:val="0"/>
                <w:sz w:val="24"/>
                <w:szCs w:val="20"/>
                <w:highlight w:val="none"/>
                <w:lang w:val="en-US" w:eastAsia="zh-CN" w:bidi="ar-SA"/>
              </w:rPr>
              <w:t>3</w:t>
            </w:r>
            <w:r>
              <w:rPr>
                <w:rFonts w:ascii="Times New Roman" w:hAnsi="Times New Roman" w:eastAsia="宋体" w:cs="Times New Roman"/>
                <w:b/>
                <w:color w:val="auto"/>
                <w:kern w:val="0"/>
                <w:sz w:val="24"/>
                <w:szCs w:val="20"/>
                <w:highlight w:val="none"/>
                <w:lang w:val="en-US" w:eastAsia="zh-CN" w:bidi="ar-SA"/>
              </w:rPr>
              <w:t>-</w:t>
            </w:r>
            <w:r>
              <w:rPr>
                <w:rFonts w:hint="default" w:ascii="Times New Roman" w:hAnsi="Times New Roman" w:eastAsia="宋体" w:cs="Times New Roman"/>
                <w:b/>
                <w:color w:val="auto"/>
                <w:kern w:val="0"/>
                <w:sz w:val="24"/>
                <w:szCs w:val="20"/>
                <w:highlight w:val="none"/>
                <w:lang w:val="en-US" w:eastAsia="zh-CN" w:bidi="ar-SA"/>
              </w:rPr>
              <w:t>1</w:t>
            </w:r>
            <w:r>
              <w:rPr>
                <w:rFonts w:ascii="Times New Roman" w:hAnsi="Times New Roman" w:eastAsia="宋体" w:cs="Times New Roman"/>
                <w:b/>
                <w:color w:val="auto"/>
                <w:kern w:val="0"/>
                <w:sz w:val="24"/>
                <w:szCs w:val="20"/>
                <w:highlight w:val="none"/>
                <w:lang w:val="en-US" w:eastAsia="zh-CN" w:bidi="ar-SA"/>
              </w:rPr>
              <w:t xml:space="preserve">  </w:t>
            </w:r>
            <w:r>
              <w:rPr>
                <w:rFonts w:hint="eastAsia" w:ascii="Times New Roman" w:hAnsi="Times New Roman" w:eastAsia="宋体" w:cs="Times New Roman"/>
                <w:b/>
                <w:color w:val="auto"/>
                <w:kern w:val="0"/>
                <w:sz w:val="24"/>
                <w:szCs w:val="20"/>
                <w:highlight w:val="none"/>
                <w:lang w:val="en-US" w:eastAsia="zh-CN" w:bidi="ar-SA"/>
              </w:rPr>
              <w:t>区域空气质量现状评价表 单位：</w:t>
            </w:r>
            <w:r>
              <w:rPr>
                <w:rFonts w:hint="default" w:ascii="Times New Roman" w:hAnsi="Times New Roman" w:eastAsia="宋体" w:cs="Times New Roman"/>
                <w:b/>
                <w:color w:val="auto"/>
                <w:kern w:val="0"/>
                <w:sz w:val="24"/>
                <w:szCs w:val="20"/>
                <w:highlight w:val="none"/>
                <w:lang w:val="en-US" w:eastAsia="zh-CN" w:bidi="ar-SA"/>
              </w:rPr>
              <w:t>ug</w:t>
            </w:r>
            <w:r>
              <w:rPr>
                <w:rFonts w:hint="eastAsia" w:ascii="Times New Roman" w:hAnsi="Times New Roman" w:eastAsia="宋体" w:cs="Times New Roman"/>
                <w:b/>
                <w:color w:val="auto"/>
                <w:kern w:val="0"/>
                <w:sz w:val="24"/>
                <w:szCs w:val="20"/>
                <w:highlight w:val="none"/>
                <w:lang w:val="en-US" w:eastAsia="zh-CN" w:bidi="ar-SA"/>
              </w:rPr>
              <w:t>/</w:t>
            </w:r>
            <w:r>
              <w:rPr>
                <w:rFonts w:hint="default" w:ascii="Times New Roman" w:hAnsi="Times New Roman" w:eastAsia="宋体" w:cs="Times New Roman"/>
                <w:b/>
                <w:color w:val="auto"/>
                <w:kern w:val="0"/>
                <w:sz w:val="24"/>
                <w:szCs w:val="20"/>
                <w:highlight w:val="none"/>
                <w:lang w:val="en-US" w:eastAsia="zh-CN" w:bidi="ar-SA"/>
              </w:rPr>
              <w:t>m</w:t>
            </w:r>
            <w:r>
              <w:rPr>
                <w:rFonts w:hint="default" w:ascii="Times New Roman" w:hAnsi="Times New Roman" w:eastAsia="宋体" w:cs="Times New Roman"/>
                <w:b/>
                <w:color w:val="auto"/>
                <w:kern w:val="0"/>
                <w:sz w:val="24"/>
                <w:szCs w:val="20"/>
                <w:highlight w:val="none"/>
                <w:vertAlign w:val="superscript"/>
                <w:lang w:val="en-US" w:eastAsia="zh-CN" w:bidi="ar-SA"/>
              </w:rPr>
              <w:t>3</w:t>
            </w:r>
          </w:p>
          <w:tbl>
            <w:tblPr>
              <w:tblStyle w:val="32"/>
              <w:tblW w:w="804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18"/>
              <w:gridCol w:w="2507"/>
              <w:gridCol w:w="1159"/>
              <w:gridCol w:w="1208"/>
              <w:gridCol w:w="1018"/>
              <w:gridCol w:w="11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018" w:type="dxa"/>
                  <w:tcBorders>
                    <w:top w:val="single" w:color="auto" w:sz="12" w:space="0"/>
                    <w:left w:val="nil"/>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污染物</w:t>
                  </w:r>
                </w:p>
              </w:tc>
              <w:tc>
                <w:tcPr>
                  <w:tcW w:w="2507" w:type="dxa"/>
                  <w:tcBorders>
                    <w:top w:val="single" w:color="auto" w:sz="12"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年评价指标</w:t>
                  </w:r>
                </w:p>
              </w:tc>
              <w:tc>
                <w:tcPr>
                  <w:tcW w:w="1159" w:type="dxa"/>
                  <w:tcBorders>
                    <w:top w:val="single" w:color="auto" w:sz="12"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现状浓度</w:t>
                  </w:r>
                </w:p>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μg</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m</w:t>
                  </w:r>
                  <w:r>
                    <w:rPr>
                      <w:rFonts w:hint="default" w:ascii="Times New Roman" w:hAnsi="Times New Roman" w:eastAsia="宋体" w:cs="Times New Roman"/>
                      <w:color w:val="auto"/>
                      <w:szCs w:val="21"/>
                      <w:highlight w:val="none"/>
                      <w:vertAlign w:val="superscript"/>
                      <w:lang w:eastAsia="zh-CN"/>
                    </w:rPr>
                    <w:t>3</w:t>
                  </w:r>
                  <w:r>
                    <w:rPr>
                      <w:rFonts w:hint="eastAsia" w:ascii="Times New Roman" w:hAnsi="Times New Roman" w:eastAsia="宋体" w:cs="Times New Roman"/>
                      <w:color w:val="auto"/>
                      <w:szCs w:val="21"/>
                      <w:highlight w:val="none"/>
                      <w:lang w:eastAsia="zh-CN"/>
                    </w:rPr>
                    <w:t>）</w:t>
                  </w:r>
                </w:p>
              </w:tc>
              <w:tc>
                <w:tcPr>
                  <w:tcW w:w="1208" w:type="dxa"/>
                  <w:tcBorders>
                    <w:top w:val="single" w:color="auto" w:sz="12"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标准值</w:t>
                  </w:r>
                </w:p>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μg</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m</w:t>
                  </w:r>
                  <w:r>
                    <w:rPr>
                      <w:rFonts w:hint="default" w:ascii="Times New Roman" w:hAnsi="Times New Roman" w:eastAsia="宋体" w:cs="Times New Roman"/>
                      <w:color w:val="auto"/>
                      <w:szCs w:val="21"/>
                      <w:highlight w:val="none"/>
                      <w:vertAlign w:val="superscript"/>
                      <w:lang w:eastAsia="zh-CN"/>
                    </w:rPr>
                    <w:t>3</w:t>
                  </w:r>
                  <w:r>
                    <w:rPr>
                      <w:rFonts w:hint="eastAsia" w:ascii="Times New Roman" w:hAnsi="Times New Roman" w:eastAsia="宋体" w:cs="Times New Roman"/>
                      <w:color w:val="auto"/>
                      <w:szCs w:val="21"/>
                      <w:highlight w:val="none"/>
                      <w:lang w:eastAsia="zh-CN"/>
                    </w:rPr>
                    <w:t>）</w:t>
                  </w:r>
                </w:p>
              </w:tc>
              <w:tc>
                <w:tcPr>
                  <w:tcW w:w="1018" w:type="dxa"/>
                  <w:tcBorders>
                    <w:top w:val="single" w:color="auto" w:sz="12"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占标率</w:t>
                  </w:r>
                </w:p>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w:t>
                  </w:r>
                </w:p>
              </w:tc>
              <w:tc>
                <w:tcPr>
                  <w:tcW w:w="1130" w:type="dxa"/>
                  <w:tcBorders>
                    <w:top w:val="single" w:color="auto" w:sz="12" w:space="0"/>
                    <w:left w:val="single" w:color="auto" w:sz="6" w:space="0"/>
                    <w:bottom w:val="single" w:color="auto" w:sz="6" w:space="0"/>
                    <w:right w:val="nil"/>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018" w:type="dxa"/>
                  <w:tcBorders>
                    <w:top w:val="single" w:color="auto" w:sz="6" w:space="0"/>
                    <w:left w:val="nil"/>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PM</w:t>
                  </w:r>
                  <w:r>
                    <w:rPr>
                      <w:rFonts w:hint="default" w:ascii="Times New Roman" w:hAnsi="Times New Roman" w:eastAsia="宋体" w:cs="Times New Roman"/>
                      <w:color w:val="auto"/>
                      <w:szCs w:val="21"/>
                      <w:highlight w:val="none"/>
                      <w:vertAlign w:val="subscript"/>
                      <w:lang w:eastAsia="zh-CN"/>
                    </w:rPr>
                    <w:t>2</w:t>
                  </w:r>
                  <w:r>
                    <w:rPr>
                      <w:rFonts w:hint="eastAsia" w:ascii="Times New Roman" w:hAnsi="Times New Roman" w:eastAsia="宋体" w:cs="Times New Roman"/>
                      <w:color w:val="auto"/>
                      <w:szCs w:val="21"/>
                      <w:highlight w:val="none"/>
                      <w:vertAlign w:val="subscript"/>
                      <w:lang w:eastAsia="zh-CN"/>
                    </w:rPr>
                    <w:t>.</w:t>
                  </w:r>
                  <w:r>
                    <w:rPr>
                      <w:rFonts w:hint="default" w:ascii="Times New Roman" w:hAnsi="Times New Roman" w:eastAsia="宋体" w:cs="Times New Roman"/>
                      <w:color w:val="auto"/>
                      <w:szCs w:val="21"/>
                      <w:highlight w:val="none"/>
                      <w:vertAlign w:val="subscript"/>
                      <w:lang w:eastAsia="zh-CN"/>
                    </w:rPr>
                    <w:t>5</w:t>
                  </w:r>
                </w:p>
              </w:tc>
              <w:tc>
                <w:tcPr>
                  <w:tcW w:w="2507"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年平均质量浓度</w:t>
                  </w:r>
                </w:p>
              </w:tc>
              <w:tc>
                <w:tcPr>
                  <w:tcW w:w="1159"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24</w:t>
                  </w:r>
                </w:p>
              </w:tc>
              <w:tc>
                <w:tcPr>
                  <w:tcW w:w="1208"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35</w:t>
                  </w:r>
                </w:p>
              </w:tc>
              <w:tc>
                <w:tcPr>
                  <w:tcW w:w="1018"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68.6</w:t>
                  </w:r>
                </w:p>
              </w:tc>
              <w:tc>
                <w:tcPr>
                  <w:tcW w:w="1130" w:type="dxa"/>
                  <w:tcBorders>
                    <w:top w:val="single" w:color="auto" w:sz="6" w:space="0"/>
                    <w:left w:val="single" w:color="auto" w:sz="6" w:space="0"/>
                    <w:bottom w:val="single" w:color="auto" w:sz="6" w:space="0"/>
                    <w:right w:val="nil"/>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达</w:t>
                  </w:r>
                  <w:r>
                    <w:rPr>
                      <w:rFonts w:hint="eastAsia" w:ascii="Times New Roman" w:hAnsi="Times New Roman" w:eastAsia="宋体" w:cs="Times New Roman"/>
                      <w:color w:val="auto"/>
                      <w:szCs w:val="21"/>
                      <w:highlight w:val="none"/>
                      <w:lang w:eastAsia="zh-CN"/>
                    </w:rPr>
                    <w:t>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018" w:type="dxa"/>
                  <w:tcBorders>
                    <w:top w:val="single" w:color="auto" w:sz="6" w:space="0"/>
                    <w:left w:val="nil"/>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PM</w:t>
                  </w:r>
                  <w:r>
                    <w:rPr>
                      <w:rFonts w:hint="default" w:ascii="Times New Roman" w:hAnsi="Times New Roman" w:eastAsia="宋体" w:cs="Times New Roman"/>
                      <w:color w:val="auto"/>
                      <w:szCs w:val="21"/>
                      <w:highlight w:val="none"/>
                      <w:vertAlign w:val="subscript"/>
                      <w:lang w:eastAsia="zh-CN"/>
                    </w:rPr>
                    <w:t>10</w:t>
                  </w:r>
                </w:p>
              </w:tc>
              <w:tc>
                <w:tcPr>
                  <w:tcW w:w="2507"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年平均质量浓度</w:t>
                  </w:r>
                </w:p>
              </w:tc>
              <w:tc>
                <w:tcPr>
                  <w:tcW w:w="1159"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34</w:t>
                  </w:r>
                </w:p>
              </w:tc>
              <w:tc>
                <w:tcPr>
                  <w:tcW w:w="1208"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70</w:t>
                  </w:r>
                </w:p>
              </w:tc>
              <w:tc>
                <w:tcPr>
                  <w:tcW w:w="1018"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w:t>
                  </w:r>
                  <w:r>
                    <w:rPr>
                      <w:rFonts w:hint="eastAsia" w:ascii="Times New Roman" w:hAnsi="Times New Roman" w:eastAsia="宋体" w:cs="Times New Roman"/>
                      <w:color w:val="auto"/>
                      <w:szCs w:val="21"/>
                      <w:highlight w:val="none"/>
                      <w:lang w:val="en-US" w:eastAsia="zh-CN"/>
                    </w:rPr>
                    <w:t>8.6</w:t>
                  </w:r>
                </w:p>
              </w:tc>
              <w:tc>
                <w:tcPr>
                  <w:tcW w:w="1130" w:type="dxa"/>
                  <w:tcBorders>
                    <w:top w:val="single" w:color="auto" w:sz="6" w:space="0"/>
                    <w:left w:val="single" w:color="auto" w:sz="6" w:space="0"/>
                    <w:bottom w:val="single" w:color="auto" w:sz="6" w:space="0"/>
                    <w:right w:val="nil"/>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018" w:type="dxa"/>
                  <w:tcBorders>
                    <w:top w:val="single" w:color="auto" w:sz="6" w:space="0"/>
                    <w:left w:val="nil"/>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NO</w:t>
                  </w:r>
                  <w:r>
                    <w:rPr>
                      <w:rFonts w:hint="default" w:ascii="Times New Roman" w:hAnsi="Times New Roman" w:eastAsia="宋体" w:cs="Times New Roman"/>
                      <w:color w:val="auto"/>
                      <w:szCs w:val="21"/>
                      <w:highlight w:val="none"/>
                      <w:vertAlign w:val="subscript"/>
                      <w:lang w:eastAsia="zh-CN"/>
                    </w:rPr>
                    <w:t>2</w:t>
                  </w:r>
                </w:p>
              </w:tc>
              <w:tc>
                <w:tcPr>
                  <w:tcW w:w="2507"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年平均质量浓度</w:t>
                  </w:r>
                </w:p>
              </w:tc>
              <w:tc>
                <w:tcPr>
                  <w:tcW w:w="1159"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13</w:t>
                  </w:r>
                </w:p>
              </w:tc>
              <w:tc>
                <w:tcPr>
                  <w:tcW w:w="1208"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40</w:t>
                  </w:r>
                </w:p>
              </w:tc>
              <w:tc>
                <w:tcPr>
                  <w:tcW w:w="1018"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r>
                    <w:rPr>
                      <w:rFonts w:hint="eastAsia" w:ascii="Times New Roman" w:hAnsi="Times New Roman" w:eastAsia="宋体" w:cs="Times New Roman"/>
                      <w:color w:val="auto"/>
                      <w:szCs w:val="21"/>
                      <w:highlight w:val="none"/>
                      <w:lang w:val="en-US" w:eastAsia="zh-CN"/>
                    </w:rPr>
                    <w:t>2.5</w:t>
                  </w:r>
                </w:p>
              </w:tc>
              <w:tc>
                <w:tcPr>
                  <w:tcW w:w="1130" w:type="dxa"/>
                  <w:tcBorders>
                    <w:top w:val="single" w:color="auto" w:sz="6" w:space="0"/>
                    <w:left w:val="single" w:color="auto" w:sz="6" w:space="0"/>
                    <w:bottom w:val="single" w:color="auto" w:sz="6" w:space="0"/>
                    <w:right w:val="nil"/>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018" w:type="dxa"/>
                  <w:tcBorders>
                    <w:top w:val="single" w:color="auto" w:sz="6" w:space="0"/>
                    <w:left w:val="nil"/>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SO</w:t>
                  </w:r>
                  <w:r>
                    <w:rPr>
                      <w:rFonts w:hint="default" w:ascii="Times New Roman" w:hAnsi="Times New Roman" w:eastAsia="宋体" w:cs="Times New Roman"/>
                      <w:color w:val="auto"/>
                      <w:szCs w:val="21"/>
                      <w:highlight w:val="none"/>
                      <w:vertAlign w:val="subscript"/>
                      <w:lang w:eastAsia="zh-CN"/>
                    </w:rPr>
                    <w:t>2</w:t>
                  </w:r>
                </w:p>
              </w:tc>
              <w:tc>
                <w:tcPr>
                  <w:tcW w:w="2507"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年平均质量浓度</w:t>
                  </w:r>
                </w:p>
              </w:tc>
              <w:tc>
                <w:tcPr>
                  <w:tcW w:w="1159"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w:t>
                  </w:r>
                </w:p>
              </w:tc>
              <w:tc>
                <w:tcPr>
                  <w:tcW w:w="1208"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60</w:t>
                  </w:r>
                </w:p>
              </w:tc>
              <w:tc>
                <w:tcPr>
                  <w:tcW w:w="1018"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r>
                    <w:rPr>
                      <w:rFonts w:hint="eastAsia" w:cs="Times New Roman"/>
                      <w:color w:val="auto"/>
                      <w:szCs w:val="21"/>
                      <w:highlight w:val="none"/>
                      <w:lang w:val="en-US" w:eastAsia="zh-CN"/>
                    </w:rPr>
                    <w:t>1.7</w:t>
                  </w:r>
                </w:p>
              </w:tc>
              <w:tc>
                <w:tcPr>
                  <w:tcW w:w="1130" w:type="dxa"/>
                  <w:tcBorders>
                    <w:top w:val="single" w:color="auto" w:sz="6" w:space="0"/>
                    <w:left w:val="single" w:color="auto" w:sz="6" w:space="0"/>
                    <w:bottom w:val="single" w:color="auto" w:sz="6" w:space="0"/>
                    <w:right w:val="nil"/>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018" w:type="dxa"/>
                  <w:tcBorders>
                    <w:top w:val="single" w:color="auto" w:sz="6" w:space="0"/>
                    <w:left w:val="nil"/>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CO</w:t>
                  </w:r>
                </w:p>
              </w:tc>
              <w:tc>
                <w:tcPr>
                  <w:tcW w:w="2507"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日均值第</w:t>
                  </w:r>
                  <w:r>
                    <w:rPr>
                      <w:rFonts w:hint="default" w:ascii="Times New Roman" w:hAnsi="Times New Roman" w:eastAsia="宋体" w:cs="Times New Roman"/>
                      <w:color w:val="auto"/>
                      <w:szCs w:val="21"/>
                      <w:highlight w:val="none"/>
                      <w:lang w:eastAsia="zh-CN"/>
                    </w:rPr>
                    <w:t>95</w:t>
                  </w:r>
                  <w:r>
                    <w:rPr>
                      <w:rFonts w:hint="eastAsia" w:ascii="Times New Roman" w:hAnsi="Times New Roman" w:eastAsia="宋体" w:cs="Times New Roman"/>
                      <w:color w:val="auto"/>
                      <w:szCs w:val="21"/>
                      <w:highlight w:val="none"/>
                      <w:lang w:eastAsia="zh-CN"/>
                    </w:rPr>
                    <w:t>百分位浓度（</w:t>
                  </w:r>
                  <w:r>
                    <w:rPr>
                      <w:rFonts w:hint="default" w:ascii="Times New Roman" w:hAnsi="Times New Roman" w:eastAsia="宋体" w:cs="Times New Roman"/>
                      <w:color w:val="auto"/>
                      <w:szCs w:val="21"/>
                      <w:highlight w:val="none"/>
                      <w:lang w:val="en-US" w:eastAsia="zh-CN"/>
                    </w:rPr>
                    <w:t>mg</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eastAsia="zh-CN"/>
                    </w:rPr>
                    <w:t>）</w:t>
                  </w:r>
                </w:p>
              </w:tc>
              <w:tc>
                <w:tcPr>
                  <w:tcW w:w="1159"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0.8</w:t>
                  </w:r>
                </w:p>
              </w:tc>
              <w:tc>
                <w:tcPr>
                  <w:tcW w:w="1208"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4</w:t>
                  </w:r>
                  <w:r>
                    <w:rPr>
                      <w:rFonts w:hint="eastAsia" w:ascii="Times New Roman" w:hAnsi="Times New Roman" w:eastAsia="宋体" w:cs="Times New Roman"/>
                      <w:color w:val="auto"/>
                      <w:szCs w:val="21"/>
                      <w:highlight w:val="none"/>
                      <w:lang w:val="en-US" w:eastAsia="zh-CN"/>
                    </w:rPr>
                    <w:t>.0</w:t>
                  </w:r>
                </w:p>
              </w:tc>
              <w:tc>
                <w:tcPr>
                  <w:tcW w:w="1018" w:type="dxa"/>
                  <w:tcBorders>
                    <w:top w:val="single" w:color="auto" w:sz="6" w:space="0"/>
                    <w:left w:val="single" w:color="auto" w:sz="6" w:space="0"/>
                    <w:bottom w:val="single" w:color="auto" w:sz="6"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20.0</w:t>
                  </w:r>
                </w:p>
              </w:tc>
              <w:tc>
                <w:tcPr>
                  <w:tcW w:w="1130" w:type="dxa"/>
                  <w:tcBorders>
                    <w:top w:val="single" w:color="auto" w:sz="6" w:space="0"/>
                    <w:left w:val="single" w:color="auto" w:sz="6" w:space="0"/>
                    <w:bottom w:val="single" w:color="auto" w:sz="6" w:space="0"/>
                    <w:right w:val="nil"/>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018" w:type="dxa"/>
                  <w:tcBorders>
                    <w:top w:val="single" w:color="auto" w:sz="6" w:space="0"/>
                    <w:left w:val="nil"/>
                    <w:bottom w:val="single" w:color="auto" w:sz="12"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O</w:t>
                  </w:r>
                  <w:r>
                    <w:rPr>
                      <w:rFonts w:hint="default" w:ascii="Times New Roman" w:hAnsi="Times New Roman" w:eastAsia="宋体" w:cs="Times New Roman"/>
                      <w:color w:val="auto"/>
                      <w:szCs w:val="21"/>
                      <w:highlight w:val="none"/>
                      <w:vertAlign w:val="subscript"/>
                      <w:lang w:eastAsia="zh-CN"/>
                    </w:rPr>
                    <w:t>3</w:t>
                  </w:r>
                </w:p>
              </w:tc>
              <w:tc>
                <w:tcPr>
                  <w:tcW w:w="2507" w:type="dxa"/>
                  <w:tcBorders>
                    <w:top w:val="single" w:color="auto" w:sz="6" w:space="0"/>
                    <w:left w:val="single" w:color="auto" w:sz="6" w:space="0"/>
                    <w:bottom w:val="single" w:color="auto" w:sz="12"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日最大</w:t>
                  </w:r>
                  <w:r>
                    <w:rPr>
                      <w:rFonts w:hint="default" w:ascii="Times New Roman" w:hAnsi="Times New Roman" w:eastAsia="宋体" w:cs="Times New Roman"/>
                      <w:color w:val="auto"/>
                      <w:szCs w:val="21"/>
                      <w:highlight w:val="none"/>
                      <w:lang w:eastAsia="zh-CN"/>
                    </w:rPr>
                    <w:t>8</w:t>
                  </w:r>
                  <w:r>
                    <w:rPr>
                      <w:rFonts w:hint="eastAsia" w:ascii="Times New Roman" w:hAnsi="Times New Roman" w:eastAsia="宋体" w:cs="Times New Roman"/>
                      <w:color w:val="auto"/>
                      <w:szCs w:val="21"/>
                      <w:highlight w:val="none"/>
                      <w:lang w:eastAsia="zh-CN"/>
                    </w:rPr>
                    <w:t>小时平均值第</w:t>
                  </w:r>
                  <w:r>
                    <w:rPr>
                      <w:rFonts w:hint="default" w:ascii="Times New Roman" w:hAnsi="Times New Roman" w:eastAsia="宋体" w:cs="Times New Roman"/>
                      <w:color w:val="auto"/>
                      <w:szCs w:val="21"/>
                      <w:highlight w:val="none"/>
                      <w:lang w:eastAsia="zh-CN"/>
                    </w:rPr>
                    <w:t>90</w:t>
                  </w:r>
                  <w:r>
                    <w:rPr>
                      <w:rFonts w:hint="eastAsia" w:ascii="Times New Roman" w:hAnsi="Times New Roman" w:eastAsia="宋体" w:cs="Times New Roman"/>
                      <w:color w:val="auto"/>
                      <w:szCs w:val="21"/>
                      <w:highlight w:val="none"/>
                      <w:lang w:eastAsia="zh-CN"/>
                    </w:rPr>
                    <w:t>百分位浓度</w:t>
                  </w:r>
                </w:p>
              </w:tc>
              <w:tc>
                <w:tcPr>
                  <w:tcW w:w="1159" w:type="dxa"/>
                  <w:tcBorders>
                    <w:top w:val="single" w:color="auto" w:sz="6" w:space="0"/>
                    <w:left w:val="single" w:color="auto" w:sz="6" w:space="0"/>
                    <w:bottom w:val="single" w:color="auto" w:sz="12" w:space="0"/>
                    <w:right w:val="single" w:color="auto" w:sz="6" w:space="0"/>
                  </w:tcBorders>
                  <w:noWrap/>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104</w:t>
                  </w:r>
                </w:p>
              </w:tc>
              <w:tc>
                <w:tcPr>
                  <w:tcW w:w="1208" w:type="dxa"/>
                  <w:tcBorders>
                    <w:top w:val="single" w:color="auto" w:sz="6" w:space="0"/>
                    <w:left w:val="single" w:color="auto" w:sz="6" w:space="0"/>
                    <w:bottom w:val="single" w:color="auto" w:sz="12" w:space="0"/>
                    <w:right w:val="single" w:color="auto" w:sz="6" w:space="0"/>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160</w:t>
                  </w:r>
                </w:p>
              </w:tc>
              <w:tc>
                <w:tcPr>
                  <w:tcW w:w="1018" w:type="dxa"/>
                  <w:tcBorders>
                    <w:top w:val="single" w:color="auto" w:sz="6" w:space="0"/>
                    <w:left w:val="single" w:color="auto" w:sz="6" w:space="0"/>
                    <w:bottom w:val="single" w:color="auto" w:sz="12" w:space="0"/>
                    <w:right w:val="single" w:color="auto" w:sz="6" w:space="0"/>
                  </w:tcBorders>
                  <w:noWrap/>
                  <w:vAlign w:val="center"/>
                </w:tcPr>
                <w:p>
                  <w:pPr>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65</w:t>
                  </w:r>
                </w:p>
              </w:tc>
              <w:tc>
                <w:tcPr>
                  <w:tcW w:w="1130" w:type="dxa"/>
                  <w:tcBorders>
                    <w:top w:val="single" w:color="auto" w:sz="6" w:space="0"/>
                    <w:left w:val="single" w:color="auto" w:sz="6" w:space="0"/>
                    <w:bottom w:val="single" w:color="auto" w:sz="12" w:space="0"/>
                    <w:right w:val="nil"/>
                  </w:tcBorders>
                  <w:noWrap/>
                  <w:vAlign w:val="center"/>
                </w:tcPr>
                <w:p>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lang w:eastAsia="zh-CN"/>
              </w:rPr>
              <w:t>伊春</w:t>
            </w:r>
            <w:r>
              <w:rPr>
                <w:color w:val="auto"/>
                <w:sz w:val="24"/>
                <w:highlight w:val="none"/>
              </w:rPr>
              <w:t>市202</w:t>
            </w:r>
            <w:r>
              <w:rPr>
                <w:rFonts w:hint="eastAsia"/>
                <w:color w:val="auto"/>
                <w:sz w:val="24"/>
                <w:highlight w:val="none"/>
                <w:lang w:val="en-US" w:eastAsia="zh-CN"/>
              </w:rPr>
              <w:t>4</w:t>
            </w:r>
            <w:r>
              <w:rPr>
                <w:color w:val="auto"/>
                <w:sz w:val="24"/>
                <w:highlight w:val="none"/>
              </w:rPr>
              <w:t>年环境空气质量</w:t>
            </w:r>
            <w:r>
              <w:rPr>
                <w:rFonts w:hint="eastAsia" w:ascii="Times New Roman" w:hAnsi="Times New Roman" w:eastAsia="宋体" w:cs="Times New Roman"/>
                <w:color w:val="auto"/>
                <w:szCs w:val="21"/>
                <w:highlight w:val="none"/>
                <w:lang w:eastAsia="zh-CN"/>
              </w:rPr>
              <w:t>PM</w:t>
            </w:r>
            <w:r>
              <w:rPr>
                <w:rFonts w:hint="eastAsia" w:ascii="Times New Roman" w:hAnsi="Times New Roman" w:eastAsia="宋体" w:cs="Times New Roman"/>
                <w:color w:val="auto"/>
                <w:szCs w:val="21"/>
                <w:highlight w:val="none"/>
                <w:vertAlign w:val="subscript"/>
                <w:lang w:eastAsia="zh-CN"/>
              </w:rPr>
              <w:t>2.5</w:t>
            </w:r>
            <w:r>
              <w:rPr>
                <w:rFonts w:hint="eastAsia" w:ascii="Times New Roman" w:hAnsi="Times New Roman" w:eastAsia="宋体" w:cs="Times New Roman"/>
                <w:color w:val="auto"/>
                <w:szCs w:val="21"/>
                <w:highlight w:val="none"/>
                <w:vertAlign w:val="baseline"/>
                <w:lang w:eastAsia="zh-CN"/>
              </w:rPr>
              <w:t>、</w:t>
            </w:r>
            <w:r>
              <w:rPr>
                <w:color w:val="auto"/>
                <w:sz w:val="24"/>
                <w:highlight w:val="none"/>
              </w:rPr>
              <w:t>PM</w:t>
            </w:r>
            <w:r>
              <w:rPr>
                <w:color w:val="auto"/>
                <w:sz w:val="24"/>
                <w:highlight w:val="none"/>
                <w:vertAlign w:val="subscript"/>
              </w:rPr>
              <w:t>10</w:t>
            </w:r>
            <w:r>
              <w:rPr>
                <w:color w:val="auto"/>
                <w:sz w:val="24"/>
                <w:highlight w:val="none"/>
              </w:rPr>
              <w:t>年平均质量浓度、NO</w:t>
            </w:r>
            <w:r>
              <w:rPr>
                <w:color w:val="auto"/>
                <w:sz w:val="24"/>
                <w:highlight w:val="none"/>
                <w:vertAlign w:val="subscript"/>
              </w:rPr>
              <w:t>2</w:t>
            </w:r>
            <w:r>
              <w:rPr>
                <w:color w:val="auto"/>
                <w:sz w:val="24"/>
                <w:highlight w:val="none"/>
              </w:rPr>
              <w:t>年平均质量浓度、SO</w:t>
            </w:r>
            <w:r>
              <w:rPr>
                <w:color w:val="auto"/>
                <w:sz w:val="24"/>
                <w:highlight w:val="none"/>
                <w:vertAlign w:val="subscript"/>
              </w:rPr>
              <w:t>2</w:t>
            </w:r>
            <w:r>
              <w:rPr>
                <w:color w:val="auto"/>
                <w:sz w:val="24"/>
                <w:highlight w:val="none"/>
              </w:rPr>
              <w:t>年平均质量浓度、CO日平均第95百分位数、O</w:t>
            </w:r>
            <w:r>
              <w:rPr>
                <w:color w:val="auto"/>
                <w:sz w:val="24"/>
                <w:highlight w:val="none"/>
                <w:vertAlign w:val="subscript"/>
              </w:rPr>
              <w:t>3</w:t>
            </w:r>
            <w:r>
              <w:rPr>
                <w:color w:val="auto"/>
                <w:sz w:val="24"/>
                <w:highlight w:val="none"/>
              </w:rPr>
              <w:t>日最大8小时平均第90百分位数均满足《环境空气质量标准》（GB3095-2012）及其修改单二级标准的要求。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Cs/>
                <w:color w:val="auto"/>
                <w:kern w:val="2"/>
                <w:sz w:val="24"/>
                <w:szCs w:val="24"/>
                <w:highlight w:val="yellow"/>
                <w:lang w:val="en-US" w:eastAsia="zh-CN" w:bidi="ar-SA"/>
              </w:rPr>
            </w:pPr>
            <w:r>
              <w:rPr>
                <w:color w:val="auto"/>
                <w:sz w:val="24"/>
                <w:highlight w:val="none"/>
              </w:rPr>
              <w:t>本项目所在区域环境空气质量为达标区</w:t>
            </w:r>
            <w:r>
              <w:rPr>
                <w:color w:val="auto"/>
                <w:sz w:val="24"/>
              </w:rPr>
              <w:t>。</w:t>
            </w:r>
          </w:p>
          <w:bookmarkEnd w:id="19"/>
          <w:bookmarkEnd w:id="20"/>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2</w:t>
            </w:r>
            <w:r>
              <w:rPr>
                <w:rFonts w:hint="eastAsia" w:ascii="Times New Roman" w:hAnsi="Times New Roman" w:eastAsia="宋体" w:cs="Times New Roman"/>
                <w:bCs/>
                <w:color w:val="auto"/>
                <w:sz w:val="24"/>
                <w:szCs w:val="24"/>
                <w:highlight w:val="none"/>
                <w:lang w:val="en-US" w:eastAsia="zh-CN"/>
              </w:rPr>
              <w:t>、特征污染物</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监测因子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本项目特征污染物</w:t>
            </w:r>
            <w:r>
              <w:rPr>
                <w:rFonts w:hint="eastAsia" w:ascii="Times New Roman" w:hAnsi="Times New Roman" w:eastAsia="宋体" w:cs="Times New Roman"/>
                <w:color w:val="auto"/>
                <w:sz w:val="24"/>
                <w:lang w:val="en-US" w:eastAsia="zh-CN"/>
              </w:rPr>
              <w:t>为</w:t>
            </w:r>
            <w:r>
              <w:rPr>
                <w:rFonts w:hint="default" w:ascii="Times New Roman" w:hAnsi="Times New Roman" w:eastAsia="宋体" w:cs="Times New Roman"/>
                <w:color w:val="auto"/>
                <w:sz w:val="24"/>
                <w:lang w:val="en-US" w:eastAsia="zh-CN"/>
              </w:rPr>
              <w:t>TSP</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rPr>
              <w:t>根据《建设项目环境影响评价报告表编制技术指南》（污染影响类）中要求，项目委托</w:t>
            </w:r>
            <w:r>
              <w:rPr>
                <w:rFonts w:hint="eastAsia" w:ascii="Times New Roman" w:hAnsi="Times New Roman" w:eastAsia="宋体" w:cs="Times New Roman"/>
                <w:color w:val="auto"/>
                <w:sz w:val="24"/>
                <w:lang w:eastAsia="zh-CN"/>
              </w:rPr>
              <w:t>黑龙江克巽检测技术有限公司</w:t>
            </w:r>
            <w:r>
              <w:rPr>
                <w:rFonts w:hint="eastAsia" w:ascii="Times New Roman" w:hAnsi="Times New Roman" w:eastAsia="宋体" w:cs="Times New Roman"/>
                <w:color w:val="auto"/>
                <w:sz w:val="24"/>
              </w:rPr>
              <w:t>于</w:t>
            </w:r>
            <w:r>
              <w:rPr>
                <w:rFonts w:hint="default" w:ascii="Times New Roman" w:hAnsi="Times New Roman" w:eastAsia="宋体" w:cs="Times New Roman"/>
                <w:color w:val="auto"/>
                <w:sz w:val="24"/>
              </w:rPr>
              <w:t>202</w:t>
            </w:r>
            <w:r>
              <w:rPr>
                <w:rFonts w:hint="default"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cs="Times New Roman"/>
                <w:color w:val="auto"/>
                <w:sz w:val="24"/>
                <w:lang w:val="en-US" w:eastAsia="zh-CN"/>
              </w:rPr>
              <w:t>9</w:t>
            </w:r>
            <w:r>
              <w:rPr>
                <w:rFonts w:hint="eastAsia" w:ascii="Times New Roman" w:hAnsi="Times New Roman" w:eastAsia="宋体" w:cs="Times New Roman"/>
                <w:color w:val="auto"/>
                <w:sz w:val="24"/>
              </w:rPr>
              <w:t>月</w:t>
            </w:r>
            <w:r>
              <w:rPr>
                <w:rFonts w:hint="eastAsia" w:cs="Times New Roman"/>
                <w:color w:val="auto"/>
                <w:sz w:val="24"/>
                <w:lang w:val="en-US" w:eastAsia="zh-CN"/>
              </w:rPr>
              <w:t>1</w:t>
            </w:r>
            <w:r>
              <w:rPr>
                <w:rFonts w:hint="default"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rPr>
              <w:t>日~</w:t>
            </w:r>
            <w:r>
              <w:rPr>
                <w:rFonts w:hint="default" w:ascii="Times New Roman" w:hAnsi="Times New Roman" w:eastAsia="宋体" w:cs="Times New Roman"/>
                <w:color w:val="auto"/>
                <w:sz w:val="24"/>
              </w:rPr>
              <w:t>2025</w:t>
            </w:r>
            <w:r>
              <w:rPr>
                <w:rFonts w:hint="eastAsia" w:ascii="Times New Roman" w:hAnsi="Times New Roman" w:eastAsia="宋体" w:cs="Times New Roman"/>
                <w:color w:val="auto"/>
                <w:sz w:val="24"/>
              </w:rPr>
              <w:t>年</w:t>
            </w:r>
            <w:r>
              <w:rPr>
                <w:rFonts w:hint="eastAsia" w:cs="Times New Roman"/>
                <w:color w:val="auto"/>
                <w:sz w:val="24"/>
                <w:lang w:val="en-US" w:eastAsia="zh-CN"/>
              </w:rPr>
              <w:t>9</w:t>
            </w:r>
            <w:r>
              <w:rPr>
                <w:rFonts w:hint="eastAsia" w:ascii="Times New Roman" w:hAnsi="Times New Roman" w:eastAsia="宋体" w:cs="Times New Roman"/>
                <w:color w:val="auto"/>
                <w:sz w:val="24"/>
              </w:rPr>
              <w:t>月</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0</w:t>
            </w:r>
            <w:r>
              <w:rPr>
                <w:rFonts w:hint="eastAsia" w:ascii="Times New Roman" w:hAnsi="Times New Roman" w:eastAsia="宋体" w:cs="Times New Roman"/>
                <w:color w:val="auto"/>
                <w:sz w:val="24"/>
              </w:rPr>
              <w:t>日对项目所在区域进行监测，在本项目厂址下风向布设</w:t>
            </w:r>
            <w:r>
              <w:rPr>
                <w:rFonts w:hint="default" w:ascii="Times New Roman" w:hAnsi="Times New Roman" w:eastAsia="宋体" w:cs="Times New Roman"/>
                <w:color w:val="auto"/>
                <w:sz w:val="24"/>
              </w:rPr>
              <w:t>1</w:t>
            </w:r>
            <w:r>
              <w:rPr>
                <w:rFonts w:hint="eastAsia" w:ascii="Times New Roman" w:hAnsi="Times New Roman" w:eastAsia="宋体" w:cs="Times New Roman"/>
                <w:color w:val="auto"/>
                <w:sz w:val="24"/>
              </w:rPr>
              <w:t>个检测点位。</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监测点位</w:t>
            </w:r>
          </w:p>
          <w:p>
            <w:pPr>
              <w:keepNext w:val="0"/>
              <w:keepLines w:val="0"/>
              <w:suppressLineNumbers w:val="0"/>
              <w:snapToGrid w:val="0"/>
              <w:spacing w:before="0" w:beforeAutospacing="0" w:after="0" w:afterAutospacing="0" w:line="360" w:lineRule="auto"/>
              <w:ind w:left="0" w:right="0" w:firstLine="480" w:firstLineChars="200"/>
              <w:rPr>
                <w:color w:val="auto"/>
                <w:sz w:val="24"/>
                <w:highlight w:val="none"/>
              </w:rPr>
            </w:pPr>
            <w:r>
              <w:rPr>
                <w:rFonts w:hint="eastAsia"/>
                <w:snapToGrid w:val="0"/>
                <w:color w:val="auto"/>
                <w:sz w:val="24"/>
                <w:highlight w:val="none"/>
                <w:lang w:val="en-US" w:eastAsia="zh-CN"/>
              </w:rPr>
              <w:t>大气监测点位信息见表</w:t>
            </w:r>
            <w:r>
              <w:rPr>
                <w:rFonts w:hint="default" w:ascii="Times New Roman" w:hAnsi="Times New Roman" w:cs="Times New Roman"/>
                <w:snapToGrid w:val="0"/>
                <w:color w:val="auto"/>
                <w:sz w:val="24"/>
                <w:highlight w:val="none"/>
                <w:lang w:val="en-US" w:eastAsia="zh-CN"/>
              </w:rPr>
              <w:t>3</w:t>
            </w:r>
            <w:r>
              <w:rPr>
                <w:rFonts w:hint="eastAsia"/>
                <w:snapToGrid w:val="0"/>
                <w:color w:val="auto"/>
                <w:sz w:val="24"/>
                <w:highlight w:val="none"/>
                <w:lang w:val="en-US" w:eastAsia="zh-CN"/>
              </w:rPr>
              <w:t>-</w:t>
            </w:r>
            <w:r>
              <w:rPr>
                <w:rFonts w:hint="default" w:ascii="Times New Roman" w:hAnsi="Times New Roman" w:cs="Times New Roman"/>
                <w:snapToGrid w:val="0"/>
                <w:color w:val="auto"/>
                <w:sz w:val="24"/>
                <w:highlight w:val="none"/>
                <w:lang w:val="en-US" w:eastAsia="zh-CN"/>
              </w:rPr>
              <w:t>2</w:t>
            </w:r>
            <w:r>
              <w:rPr>
                <w:rFonts w:hint="eastAsia"/>
                <w:snapToGrid w:val="0"/>
                <w:color w:val="auto"/>
                <w:sz w:val="24"/>
                <w:highlight w:val="none"/>
                <w:lang w:val="en-US" w:eastAsia="zh-CN"/>
              </w:rPr>
              <w:t>，示意图见图</w:t>
            </w:r>
            <w:r>
              <w:rPr>
                <w:rFonts w:hint="default" w:ascii="Times New Roman" w:hAnsi="Times New Roman" w:cs="Times New Roman"/>
                <w:snapToGrid w:val="0"/>
                <w:color w:val="auto"/>
                <w:sz w:val="24"/>
                <w:highlight w:val="none"/>
                <w:lang w:val="en-US" w:eastAsia="zh-CN"/>
              </w:rPr>
              <w:t>3</w:t>
            </w:r>
            <w:r>
              <w:rPr>
                <w:rFonts w:hint="eastAsia"/>
                <w:snapToGrid w:val="0"/>
                <w:color w:val="auto"/>
                <w:sz w:val="24"/>
                <w:highlight w:val="none"/>
                <w:lang w:val="en-US" w:eastAsia="zh-CN"/>
              </w:rPr>
              <w:t>-</w:t>
            </w:r>
            <w:r>
              <w:rPr>
                <w:rFonts w:hint="default" w:ascii="Times New Roman" w:hAnsi="Times New Roman" w:cs="Times New Roman"/>
                <w:snapToGrid w:val="0"/>
                <w:color w:val="auto"/>
                <w:sz w:val="24"/>
                <w:highlight w:val="none"/>
                <w:lang w:val="en-US" w:eastAsia="zh-CN"/>
              </w:rPr>
              <w:t>1</w:t>
            </w:r>
            <w:r>
              <w:rPr>
                <w:rFonts w:hint="eastAsia"/>
                <w:snapToGrid w:val="0"/>
                <w:color w:val="auto"/>
                <w:sz w:val="24"/>
                <w:highlight w:val="none"/>
                <w:lang w:val="en-US" w:eastAsia="zh-CN"/>
              </w:rPr>
              <w:t>。</w:t>
            </w:r>
          </w:p>
          <w:p>
            <w:pPr>
              <w:adjustRightInd w:val="0"/>
              <w:jc w:val="center"/>
              <w:rPr>
                <w:b/>
                <w:bCs/>
                <w:color w:val="auto"/>
                <w:sz w:val="24"/>
                <w:highlight w:val="none"/>
              </w:rPr>
            </w:pPr>
            <w:r>
              <w:rPr>
                <w:b/>
                <w:bCs/>
                <w:color w:val="auto"/>
                <w:sz w:val="24"/>
                <w:highlight w:val="none"/>
              </w:rPr>
              <w:t>表</w:t>
            </w:r>
            <w:r>
              <w:rPr>
                <w:rFonts w:hint="default" w:ascii="Times New Roman" w:hAnsi="Times New Roman" w:cs="Times New Roman"/>
                <w:b/>
                <w:bCs/>
                <w:color w:val="auto"/>
                <w:sz w:val="24"/>
                <w:highlight w:val="none"/>
              </w:rPr>
              <w:t>3</w:t>
            </w:r>
            <w:r>
              <w:rPr>
                <w:b/>
                <w:bCs/>
                <w:color w:val="auto"/>
                <w:sz w:val="24"/>
                <w:highlight w:val="none"/>
              </w:rPr>
              <w:t>-</w:t>
            </w:r>
            <w:r>
              <w:rPr>
                <w:rFonts w:hint="default" w:ascii="Times New Roman" w:hAnsi="Times New Roman" w:cs="Times New Roman"/>
                <w:b/>
                <w:bCs/>
                <w:color w:val="auto"/>
                <w:sz w:val="24"/>
                <w:highlight w:val="none"/>
              </w:rPr>
              <w:t>2</w:t>
            </w:r>
            <w:r>
              <w:rPr>
                <w:b/>
                <w:bCs/>
                <w:color w:val="auto"/>
                <w:sz w:val="24"/>
                <w:highlight w:val="none"/>
              </w:rPr>
              <w:t xml:space="preserve"> </w:t>
            </w:r>
            <w:r>
              <w:rPr>
                <w:rFonts w:hint="eastAsia"/>
                <w:b/>
                <w:bCs/>
                <w:color w:val="auto"/>
                <w:sz w:val="24"/>
                <w:highlight w:val="none"/>
              </w:rPr>
              <w:t>特征污染物</w:t>
            </w:r>
            <w:r>
              <w:rPr>
                <w:b/>
                <w:bCs/>
                <w:color w:val="auto"/>
                <w:sz w:val="24"/>
                <w:highlight w:val="none"/>
              </w:rPr>
              <w:t>监测点位基本信息</w:t>
            </w:r>
          </w:p>
          <w:tbl>
            <w:tblPr>
              <w:tblStyle w:val="32"/>
              <w:tblW w:w="819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113"/>
              <w:gridCol w:w="1315"/>
              <w:gridCol w:w="1230"/>
              <w:gridCol w:w="695"/>
              <w:gridCol w:w="1329"/>
              <w:gridCol w:w="860"/>
              <w:gridCol w:w="11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550" w:type="dxa"/>
                  <w:vMerge w:val="restart"/>
                  <w:noWrap w:val="0"/>
                  <w:vAlign w:val="center"/>
                </w:tcPr>
                <w:p>
                  <w:pPr>
                    <w:pStyle w:val="146"/>
                    <w:adjustRightIn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1113" w:type="dxa"/>
                  <w:vMerge w:val="restart"/>
                  <w:noWrap w:val="0"/>
                  <w:vAlign w:val="center"/>
                </w:tcPr>
                <w:p>
                  <w:pPr>
                    <w:pStyle w:val="146"/>
                    <w:adjustRightIn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监测点名称</w:t>
                  </w:r>
                </w:p>
              </w:tc>
              <w:tc>
                <w:tcPr>
                  <w:tcW w:w="2545" w:type="dxa"/>
                  <w:gridSpan w:val="2"/>
                  <w:noWrap w:val="0"/>
                  <w:vAlign w:val="center"/>
                </w:tcPr>
                <w:p>
                  <w:pPr>
                    <w:pStyle w:val="146"/>
                    <w:adjustRightIn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监测点位坐标</w:t>
                  </w:r>
                  <w:r>
                    <w:rPr>
                      <w:rFonts w:ascii="Times New Roman"/>
                      <w:color w:val="auto"/>
                      <w:sz w:val="21"/>
                      <w:szCs w:val="21"/>
                    </w:rPr>
                    <w:t>/</w:t>
                  </w:r>
                  <w:r>
                    <w:rPr>
                      <w:rFonts w:hint="eastAsia" w:ascii="Times New Roman"/>
                      <w:color w:val="auto"/>
                      <w:sz w:val="21"/>
                      <w:szCs w:val="21"/>
                    </w:rPr>
                    <w:t>°</w:t>
                  </w:r>
                </w:p>
              </w:tc>
              <w:tc>
                <w:tcPr>
                  <w:tcW w:w="695" w:type="dxa"/>
                  <w:vMerge w:val="restart"/>
                  <w:noWrap w:val="0"/>
                  <w:vAlign w:val="center"/>
                </w:tcPr>
                <w:p>
                  <w:pPr>
                    <w:pStyle w:val="146"/>
                    <w:adjustRightIn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w:t>
                  </w:r>
                </w:p>
                <w:p>
                  <w:pPr>
                    <w:pStyle w:val="146"/>
                    <w:adjustRightIn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因子</w:t>
                  </w:r>
                </w:p>
              </w:tc>
              <w:tc>
                <w:tcPr>
                  <w:tcW w:w="1329" w:type="dxa"/>
                  <w:vMerge w:val="restart"/>
                  <w:noWrap w:val="0"/>
                  <w:vAlign w:val="center"/>
                </w:tcPr>
                <w:p>
                  <w:pPr>
                    <w:pStyle w:val="146"/>
                    <w:adjustRightIn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监测时段</w:t>
                  </w:r>
                </w:p>
              </w:tc>
              <w:tc>
                <w:tcPr>
                  <w:tcW w:w="860" w:type="dxa"/>
                  <w:vMerge w:val="restart"/>
                  <w:noWrap w:val="0"/>
                  <w:vAlign w:val="center"/>
                </w:tcPr>
                <w:p>
                  <w:pPr>
                    <w:pStyle w:val="146"/>
                    <w:adjustRightIn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相对厂址方位</w:t>
                  </w:r>
                </w:p>
              </w:tc>
              <w:tc>
                <w:tcPr>
                  <w:tcW w:w="1103" w:type="dxa"/>
                  <w:vMerge w:val="restart"/>
                  <w:noWrap w:val="0"/>
                  <w:vAlign w:val="center"/>
                </w:tcPr>
                <w:p>
                  <w:pPr>
                    <w:pStyle w:val="146"/>
                    <w:adjustRightIn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50" w:type="dxa"/>
                  <w:vMerge w:val="continue"/>
                  <w:noWrap w:val="0"/>
                  <w:vAlign w:val="center"/>
                </w:tcPr>
                <w:p>
                  <w:pPr>
                    <w:pStyle w:val="146"/>
                    <w:adjustRightInd w:val="0"/>
                    <w:rPr>
                      <w:rFonts w:hint="default" w:ascii="Times New Roman" w:hAnsi="Times New Roman" w:eastAsia="宋体" w:cs="Times New Roman"/>
                      <w:color w:val="auto"/>
                      <w:szCs w:val="21"/>
                    </w:rPr>
                  </w:pPr>
                </w:p>
              </w:tc>
              <w:tc>
                <w:tcPr>
                  <w:tcW w:w="1113" w:type="dxa"/>
                  <w:vMerge w:val="continue"/>
                  <w:noWrap w:val="0"/>
                  <w:vAlign w:val="center"/>
                </w:tcPr>
                <w:p>
                  <w:pPr>
                    <w:pStyle w:val="146"/>
                    <w:adjustRightInd w:val="0"/>
                    <w:rPr>
                      <w:rFonts w:hint="default" w:ascii="Times New Roman" w:hAnsi="Times New Roman" w:eastAsia="宋体" w:cs="Times New Roman"/>
                      <w:color w:val="auto"/>
                      <w:szCs w:val="21"/>
                    </w:rPr>
                  </w:pPr>
                </w:p>
              </w:tc>
              <w:tc>
                <w:tcPr>
                  <w:tcW w:w="1315" w:type="dxa"/>
                  <w:noWrap w:val="0"/>
                  <w:vAlign w:val="center"/>
                </w:tcPr>
                <w:p>
                  <w:pPr>
                    <w:pStyle w:val="146"/>
                    <w:adjustRightIn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东经</w:t>
                  </w:r>
                </w:p>
              </w:tc>
              <w:tc>
                <w:tcPr>
                  <w:tcW w:w="1230" w:type="dxa"/>
                  <w:noWrap w:val="0"/>
                  <w:vAlign w:val="center"/>
                </w:tcPr>
                <w:p>
                  <w:pPr>
                    <w:pStyle w:val="146"/>
                    <w:adjustRightIn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北纬</w:t>
                  </w:r>
                </w:p>
              </w:tc>
              <w:tc>
                <w:tcPr>
                  <w:tcW w:w="695" w:type="dxa"/>
                  <w:vMerge w:val="continue"/>
                  <w:noWrap w:val="0"/>
                  <w:vAlign w:val="center"/>
                </w:tcPr>
                <w:p>
                  <w:pPr>
                    <w:pStyle w:val="146"/>
                    <w:adjustRightInd w:val="0"/>
                    <w:rPr>
                      <w:rFonts w:hint="default" w:ascii="Times New Roman" w:hAnsi="Times New Roman" w:eastAsia="宋体" w:cs="Times New Roman"/>
                      <w:color w:val="auto"/>
                      <w:szCs w:val="21"/>
                      <w:highlight w:val="none"/>
                    </w:rPr>
                  </w:pPr>
                </w:p>
              </w:tc>
              <w:tc>
                <w:tcPr>
                  <w:tcW w:w="1329" w:type="dxa"/>
                  <w:vMerge w:val="continue"/>
                  <w:noWrap w:val="0"/>
                  <w:vAlign w:val="center"/>
                </w:tcPr>
                <w:p>
                  <w:pPr>
                    <w:pStyle w:val="146"/>
                    <w:adjustRightInd w:val="0"/>
                    <w:rPr>
                      <w:rFonts w:hint="default" w:ascii="Times New Roman" w:hAnsi="Times New Roman" w:eastAsia="宋体" w:cs="Times New Roman"/>
                      <w:color w:val="auto"/>
                      <w:szCs w:val="21"/>
                      <w:highlight w:val="none"/>
                    </w:rPr>
                  </w:pPr>
                </w:p>
              </w:tc>
              <w:tc>
                <w:tcPr>
                  <w:tcW w:w="860" w:type="dxa"/>
                  <w:vMerge w:val="continue"/>
                  <w:noWrap w:val="0"/>
                  <w:vAlign w:val="center"/>
                </w:tcPr>
                <w:p>
                  <w:pPr>
                    <w:pStyle w:val="146"/>
                    <w:adjustRightInd w:val="0"/>
                    <w:rPr>
                      <w:rFonts w:hint="default" w:ascii="Times New Roman" w:hAnsi="Times New Roman" w:eastAsia="宋体" w:cs="Times New Roman"/>
                      <w:color w:val="auto"/>
                      <w:szCs w:val="21"/>
                      <w:highlight w:val="none"/>
                    </w:rPr>
                  </w:pPr>
                </w:p>
              </w:tc>
              <w:tc>
                <w:tcPr>
                  <w:tcW w:w="1103" w:type="dxa"/>
                  <w:vMerge w:val="continue"/>
                  <w:noWrap w:val="0"/>
                  <w:vAlign w:val="center"/>
                </w:tcPr>
                <w:p>
                  <w:pPr>
                    <w:pStyle w:val="146"/>
                    <w:adjustRightInd w:val="0"/>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5" w:hRule="exact"/>
                <w:jc w:val="center"/>
              </w:trPr>
              <w:tc>
                <w:tcPr>
                  <w:tcW w:w="550" w:type="dxa"/>
                  <w:noWrap w:val="0"/>
                  <w:vAlign w:val="center"/>
                </w:tcPr>
                <w:p>
                  <w:pPr>
                    <w:pStyle w:val="146"/>
                    <w:adjustRightIn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113" w:type="dxa"/>
                  <w:noWrap w:val="0"/>
                  <w:vAlign w:val="center"/>
                </w:tcPr>
                <w:p>
                  <w:pPr>
                    <w:ind w:left="0" w:leftChars="0" w:firstLine="0" w:firstLineChars="0"/>
                    <w:jc w:val="center"/>
                    <w:rPr>
                      <w:rFonts w:hint="default" w:ascii="Times New Roman" w:hAnsi="Times New Roman" w:eastAsia="宋体" w:cs="Times New Roman"/>
                      <w:color w:val="auto"/>
                      <w:szCs w:val="21"/>
                      <w:lang w:val="en-US"/>
                    </w:rPr>
                  </w:pPr>
                  <w:r>
                    <w:rPr>
                      <w:rFonts w:hint="default" w:ascii="Times New Roman" w:hAnsi="Times New Roman" w:cs="Times New Roman"/>
                      <w:color w:val="auto"/>
                      <w:szCs w:val="21"/>
                      <w:highlight w:val="none"/>
                      <w:lang w:bidi="ar"/>
                    </w:rPr>
                    <w:t>1</w:t>
                  </w:r>
                  <w:r>
                    <w:rPr>
                      <w:color w:val="auto"/>
                      <w:szCs w:val="21"/>
                      <w:highlight w:val="none"/>
                      <w:lang w:bidi="ar"/>
                    </w:rPr>
                    <w:t>#</w:t>
                  </w:r>
                  <w:r>
                    <w:rPr>
                      <w:rFonts w:hint="eastAsia"/>
                      <w:color w:val="auto"/>
                      <w:szCs w:val="21"/>
                      <w:highlight w:val="none"/>
                      <w:lang w:bidi="ar"/>
                    </w:rPr>
                    <w:t>厂界</w:t>
                  </w:r>
                  <w:r>
                    <w:rPr>
                      <w:rFonts w:hint="eastAsia"/>
                      <w:color w:val="auto"/>
                      <w:szCs w:val="21"/>
                      <w:highlight w:val="none"/>
                      <w:lang w:eastAsia="zh-CN" w:bidi="ar"/>
                    </w:rPr>
                    <w:t>下风向</w:t>
                  </w:r>
                </w:p>
              </w:tc>
              <w:tc>
                <w:tcPr>
                  <w:tcW w:w="1315" w:type="dxa"/>
                  <w:noWrap w:val="0"/>
                  <w:vAlign w:val="center"/>
                </w:tcPr>
                <w:p>
                  <w:pPr>
                    <w:snapToGrid w:val="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129.681442</w:t>
                  </w:r>
                </w:p>
              </w:tc>
              <w:tc>
                <w:tcPr>
                  <w:tcW w:w="1230" w:type="dxa"/>
                  <w:noWrap w:val="0"/>
                  <w:vAlign w:val="center"/>
                </w:tcPr>
                <w:p>
                  <w:pPr>
                    <w:snapToGrid w:val="0"/>
                    <w:jc w:val="center"/>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49.279824</w:t>
                  </w:r>
                </w:p>
              </w:tc>
              <w:tc>
                <w:tcPr>
                  <w:tcW w:w="695" w:type="dxa"/>
                  <w:noWrap w:val="0"/>
                  <w:vAlign w:val="center"/>
                </w:tcPr>
                <w:p>
                  <w:pPr>
                    <w:pStyle w:val="146"/>
                    <w:adjustRightInd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TSP</w:t>
                  </w:r>
                </w:p>
              </w:tc>
              <w:tc>
                <w:tcPr>
                  <w:tcW w:w="1329" w:type="dxa"/>
                  <w:noWrap w:val="0"/>
                  <w:vAlign w:val="center"/>
                </w:tcPr>
                <w:p>
                  <w:pPr>
                    <w:pStyle w:val="146"/>
                    <w:adjustRightInd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2025年</w:t>
                  </w:r>
                  <w:r>
                    <w:rPr>
                      <w:rFonts w:hint="eastAsia" w:cs="Times New Roman"/>
                      <w:color w:val="auto"/>
                      <w:szCs w:val="21"/>
                      <w:highlight w:val="none"/>
                      <w:lang w:val="en-US" w:eastAsia="zh-CN"/>
                    </w:rPr>
                    <w:t>9</w:t>
                  </w:r>
                  <w:r>
                    <w:rPr>
                      <w:rFonts w:hint="default" w:ascii="Times New Roman" w:hAnsi="Times New Roman" w:eastAsia="宋体" w:cs="Times New Roman"/>
                      <w:color w:val="auto"/>
                      <w:szCs w:val="21"/>
                      <w:highlight w:val="none"/>
                      <w:lang w:val="en-US" w:eastAsia="zh-CN"/>
                    </w:rPr>
                    <w:t>月</w:t>
                  </w:r>
                  <w:r>
                    <w:rPr>
                      <w:rFonts w:hint="eastAsia"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8日~2025年</w:t>
                  </w:r>
                  <w:r>
                    <w:rPr>
                      <w:rFonts w:hint="eastAsia" w:cs="Times New Roman"/>
                      <w:color w:val="auto"/>
                      <w:szCs w:val="21"/>
                      <w:highlight w:val="none"/>
                      <w:lang w:val="en-US" w:eastAsia="zh-CN"/>
                    </w:rPr>
                    <w:t>9</w:t>
                  </w:r>
                  <w:r>
                    <w:rPr>
                      <w:rFonts w:hint="default" w:ascii="Times New Roman" w:hAnsi="Times New Roman" w:eastAsia="宋体" w:cs="Times New Roman"/>
                      <w:color w:val="auto"/>
                      <w:szCs w:val="21"/>
                      <w:highlight w:val="none"/>
                      <w:lang w:val="en-US" w:eastAsia="zh-CN"/>
                    </w:rPr>
                    <w:t>月</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0日</w:t>
                  </w:r>
                </w:p>
              </w:tc>
              <w:tc>
                <w:tcPr>
                  <w:tcW w:w="860" w:type="dxa"/>
                  <w:noWrap w:val="0"/>
                  <w:vAlign w:val="center"/>
                </w:tcPr>
                <w:p>
                  <w:pPr>
                    <w:pStyle w:val="76"/>
                    <w:adjustRightInd w:val="0"/>
                    <w:snapToGrid w:val="0"/>
                    <w:ind w:firstLine="0" w:firstLineChars="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E</w:t>
                  </w:r>
                </w:p>
              </w:tc>
              <w:tc>
                <w:tcPr>
                  <w:tcW w:w="1103" w:type="dxa"/>
                  <w:noWrap w:val="0"/>
                  <w:vAlign w:val="center"/>
                </w:tcPr>
                <w:p>
                  <w:pPr>
                    <w:pStyle w:val="76"/>
                    <w:adjustRightInd w:val="0"/>
                    <w:snapToGrid w:val="0"/>
                    <w:ind w:firstLine="0" w:firstLineChars="0"/>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20</w:t>
                  </w:r>
                  <w:r>
                    <w:rPr>
                      <w:rFonts w:hint="default" w:ascii="Times New Roman" w:hAnsi="Times New Roman" w:cs="Times New Roman"/>
                      <w:color w:val="auto"/>
                      <w:szCs w:val="21"/>
                      <w:highlight w:val="none"/>
                    </w:rPr>
                    <w:t>m</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宋体" w:cs="Times New Roman"/>
                <w:bCs/>
                <w:color w:val="auto"/>
                <w:kern w:val="2"/>
                <w:sz w:val="24"/>
                <w:szCs w:val="24"/>
                <w:highlight w:val="yellow"/>
                <w:lang w:val="en-US" w:eastAsia="zh-CN" w:bidi="ar-SA"/>
              </w:rPr>
            </w:pPr>
            <w:r>
              <w:rPr>
                <w:rFonts w:hint="eastAsia" w:ascii="Times New Roman" w:hAnsi="Times New Roman" w:eastAsia="宋体" w:cs="Times New Roman"/>
                <w:bCs/>
                <w:color w:val="auto"/>
                <w:kern w:val="2"/>
                <w:sz w:val="24"/>
                <w:szCs w:val="24"/>
                <w:highlight w:val="yellow"/>
                <w:lang w:val="en-US" w:eastAsia="zh-CN" w:bidi="ar-SA"/>
              </w:rPr>
              <w:drawing>
                <wp:inline distT="0" distB="0" distL="114300" distR="114300">
                  <wp:extent cx="5103495" cy="4050030"/>
                  <wp:effectExtent l="0" t="0" r="1905" b="7620"/>
                  <wp:docPr id="25" name="图片 25" descr="d174ab1e-0c49-433d-b1f5-7c5830d74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174ab1e-0c49-433d-b1f5-7c5830d741f2"/>
                          <pic:cNvPicPr>
                            <a:picLocks noChangeAspect="1"/>
                          </pic:cNvPicPr>
                        </pic:nvPicPr>
                        <pic:blipFill>
                          <a:blip r:embed="rId18"/>
                          <a:stretch>
                            <a:fillRect/>
                          </a:stretch>
                        </pic:blipFill>
                        <pic:spPr>
                          <a:xfrm>
                            <a:off x="0" y="0"/>
                            <a:ext cx="5103495" cy="4050030"/>
                          </a:xfrm>
                          <a:prstGeom prst="rect">
                            <a:avLst/>
                          </a:prstGeom>
                        </pic:spPr>
                      </pic:pic>
                    </a:graphicData>
                  </a:graphic>
                </wp:inline>
              </w:drawing>
            </w:r>
          </w:p>
          <w:p>
            <w:pPr>
              <w:pStyle w:val="142"/>
              <w:adjustRightInd/>
              <w:snapToGrid/>
              <w:spacing w:line="240" w:lineRule="auto"/>
              <w:rPr>
                <w:color w:val="auto"/>
                <w:sz w:val="24"/>
                <w:highlight w:val="none"/>
              </w:rPr>
            </w:pPr>
            <w:r>
              <w:rPr>
                <w:rFonts w:hint="eastAsia" w:eastAsia="宋体"/>
                <w:b/>
                <w:bCs/>
                <w:color w:val="auto"/>
                <w:kern w:val="2"/>
                <w:szCs w:val="24"/>
              </w:rPr>
              <w:t>图</w:t>
            </w:r>
            <w:r>
              <w:rPr>
                <w:rFonts w:hint="default" w:ascii="Times New Roman" w:hAnsi="Times New Roman" w:eastAsia="宋体" w:cs="Times New Roman"/>
                <w:b/>
                <w:bCs/>
                <w:color w:val="auto"/>
                <w:kern w:val="2"/>
                <w:szCs w:val="24"/>
              </w:rPr>
              <w:t>3</w:t>
            </w:r>
            <w:r>
              <w:rPr>
                <w:rFonts w:hint="eastAsia" w:eastAsia="宋体"/>
                <w:b/>
                <w:bCs/>
                <w:color w:val="auto"/>
                <w:kern w:val="2"/>
                <w:szCs w:val="24"/>
              </w:rPr>
              <w:t>-</w:t>
            </w:r>
            <w:r>
              <w:rPr>
                <w:rFonts w:hint="default" w:ascii="Times New Roman" w:hAnsi="Times New Roman" w:eastAsia="宋体" w:cs="Times New Roman"/>
                <w:b/>
                <w:bCs/>
                <w:color w:val="auto"/>
                <w:kern w:val="2"/>
                <w:szCs w:val="24"/>
              </w:rPr>
              <w:t>1</w:t>
            </w:r>
            <w:r>
              <w:rPr>
                <w:rFonts w:hint="eastAsia" w:eastAsia="宋体"/>
                <w:b/>
                <w:bCs/>
                <w:color w:val="auto"/>
              </w:rPr>
              <w:t>环境空气</w:t>
            </w:r>
            <w:r>
              <w:rPr>
                <w:rFonts w:eastAsia="宋体"/>
                <w:b/>
                <w:bCs/>
                <w:color w:val="auto"/>
              </w:rPr>
              <w:t>监测点位</w:t>
            </w:r>
            <w:r>
              <w:rPr>
                <w:rFonts w:hint="eastAsia" w:eastAsia="宋体"/>
                <w:b/>
                <w:bCs/>
                <w:color w:val="auto"/>
                <w:lang w:val="en-US" w:eastAsia="zh-CN"/>
              </w:rPr>
              <w:t>图</w:t>
            </w:r>
          </w:p>
          <w:p>
            <w:pPr>
              <w:spacing w:line="360" w:lineRule="auto"/>
              <w:ind w:firstLine="480" w:firstLineChars="200"/>
              <w:rPr>
                <w:color w:val="auto"/>
                <w:sz w:val="24"/>
                <w:highlight w:val="none"/>
              </w:rPr>
            </w:pPr>
            <w:r>
              <w:rPr>
                <w:rFonts w:hint="default" w:ascii="Times New Roman" w:hAnsi="Times New Roman" w:cs="Times New Roman"/>
                <w:color w:val="auto"/>
                <w:sz w:val="24"/>
                <w:highlight w:val="none"/>
              </w:rPr>
              <w:t>3</w:t>
            </w:r>
            <w:r>
              <w:rPr>
                <w:color w:val="auto"/>
                <w:sz w:val="24"/>
                <w:highlight w:val="none"/>
              </w:rPr>
              <w:t>、监测结果</w:t>
            </w:r>
          </w:p>
          <w:p>
            <w:pPr>
              <w:spacing w:line="360" w:lineRule="auto"/>
              <w:ind w:firstLine="480" w:firstLineChars="200"/>
              <w:rPr>
                <w:rFonts w:hint="eastAsia" w:ascii="黑体" w:hAnsi="黑体" w:eastAsia="黑体" w:cs="黑体"/>
                <w:bCs/>
                <w:color w:val="auto"/>
                <w:sz w:val="24"/>
                <w:highlight w:val="none"/>
              </w:rPr>
            </w:pPr>
            <w:r>
              <w:rPr>
                <w:rFonts w:hint="eastAsia"/>
                <w:color w:val="auto"/>
                <w:sz w:val="24"/>
                <w:highlight w:val="none"/>
              </w:rPr>
              <w:t>特征污染物</w:t>
            </w:r>
            <w:r>
              <w:rPr>
                <w:color w:val="auto"/>
                <w:sz w:val="24"/>
                <w:highlight w:val="none"/>
              </w:rPr>
              <w:t>环境质量现状监测结果见表</w:t>
            </w:r>
            <w:r>
              <w:rPr>
                <w:rFonts w:hint="default" w:ascii="Times New Roman" w:hAnsi="Times New Roman" w:cs="Times New Roman"/>
                <w:color w:val="auto"/>
                <w:sz w:val="24"/>
                <w:highlight w:val="none"/>
              </w:rPr>
              <w:t>3</w:t>
            </w:r>
            <w:r>
              <w:rPr>
                <w:color w:val="auto"/>
                <w:sz w:val="24"/>
                <w:highlight w:val="none"/>
              </w:rPr>
              <w:t>-</w:t>
            </w:r>
            <w:r>
              <w:rPr>
                <w:rFonts w:hint="default" w:ascii="Times New Roman" w:hAnsi="Times New Roman" w:cs="Times New Roman"/>
                <w:color w:val="auto"/>
                <w:sz w:val="24"/>
                <w:highlight w:val="none"/>
              </w:rPr>
              <w:t>3</w:t>
            </w:r>
            <w:r>
              <w:rPr>
                <w:color w:val="auto"/>
                <w:sz w:val="24"/>
                <w:highlight w:val="none"/>
              </w:rPr>
              <w:t>。</w:t>
            </w:r>
          </w:p>
          <w:p>
            <w:pPr>
              <w:jc w:val="center"/>
              <w:rPr>
                <w:b/>
                <w:bCs/>
                <w:color w:val="auto"/>
                <w:sz w:val="24"/>
                <w:highlight w:val="none"/>
              </w:rPr>
            </w:pPr>
            <w:r>
              <w:rPr>
                <w:rFonts w:hint="eastAsia" w:ascii="黑体" w:hAnsi="黑体" w:eastAsia="黑体" w:cs="黑体"/>
                <w:bCs/>
                <w:color w:val="auto"/>
                <w:sz w:val="24"/>
                <w:highlight w:val="none"/>
              </w:rPr>
              <w:t>表</w:t>
            </w:r>
            <w:r>
              <w:rPr>
                <w:rFonts w:hint="default" w:ascii="Times New Roman" w:hAnsi="Times New Roman" w:cs="Times New Roman"/>
                <w:b/>
                <w:bCs/>
                <w:color w:val="auto"/>
                <w:sz w:val="24"/>
                <w:highlight w:val="none"/>
              </w:rPr>
              <w:t>3</w:t>
            </w:r>
            <w:r>
              <w:rPr>
                <w:rFonts w:hint="eastAsia"/>
                <w:b/>
                <w:bCs/>
                <w:color w:val="auto"/>
                <w:sz w:val="24"/>
                <w:highlight w:val="none"/>
              </w:rPr>
              <w:t>-</w:t>
            </w:r>
            <w:r>
              <w:rPr>
                <w:rFonts w:hint="default" w:ascii="Times New Roman" w:hAnsi="Times New Roman" w:cs="Times New Roman"/>
                <w:b/>
                <w:bCs/>
                <w:color w:val="auto"/>
                <w:sz w:val="24"/>
                <w:highlight w:val="none"/>
              </w:rPr>
              <w:t>3</w:t>
            </w:r>
            <w:r>
              <w:rPr>
                <w:rFonts w:hint="eastAsia"/>
                <w:b/>
                <w:bCs/>
                <w:color w:val="auto"/>
                <w:sz w:val="24"/>
                <w:highlight w:val="none"/>
              </w:rPr>
              <w:t xml:space="preserve"> 其他污染物环境质量现状（监测结果）表</w:t>
            </w:r>
          </w:p>
          <w:tbl>
            <w:tblPr>
              <w:tblStyle w:val="32"/>
              <w:tblW w:w="803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17"/>
              <w:gridCol w:w="1150"/>
              <w:gridCol w:w="1100"/>
              <w:gridCol w:w="1037"/>
              <w:gridCol w:w="1500"/>
              <w:gridCol w:w="880"/>
              <w:gridCol w:w="571"/>
              <w:gridCol w:w="5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85" w:hRule="atLeast"/>
              </w:trPr>
              <w:tc>
                <w:tcPr>
                  <w:tcW w:w="1217" w:type="dxa"/>
                  <w:vMerge w:val="restart"/>
                  <w:shd w:val="clear" w:color="000000" w:fill="FFFFFF"/>
                  <w:noWrap/>
                  <w:vAlign w:val="center"/>
                </w:tcPr>
                <w:p>
                  <w:pPr>
                    <w:jc w:val="center"/>
                    <w:rPr>
                      <w:color w:val="auto"/>
                      <w:szCs w:val="21"/>
                      <w:highlight w:val="none"/>
                    </w:rPr>
                  </w:pPr>
                  <w:r>
                    <w:rPr>
                      <w:color w:val="auto"/>
                      <w:szCs w:val="21"/>
                      <w:highlight w:val="none"/>
                    </w:rPr>
                    <w:t>点位名称</w:t>
                  </w:r>
                </w:p>
              </w:tc>
              <w:tc>
                <w:tcPr>
                  <w:tcW w:w="1150" w:type="dxa"/>
                  <w:vMerge w:val="restart"/>
                  <w:shd w:val="clear" w:color="000000" w:fill="FFFFFF"/>
                  <w:noWrap/>
                  <w:vAlign w:val="center"/>
                </w:tcPr>
                <w:p>
                  <w:pPr>
                    <w:jc w:val="center"/>
                    <w:rPr>
                      <w:color w:val="auto"/>
                      <w:szCs w:val="21"/>
                      <w:highlight w:val="none"/>
                    </w:rPr>
                  </w:pPr>
                  <w:r>
                    <w:rPr>
                      <w:color w:val="auto"/>
                      <w:szCs w:val="21"/>
                      <w:highlight w:val="none"/>
                    </w:rPr>
                    <w:t>污染物</w:t>
                  </w:r>
                </w:p>
              </w:tc>
              <w:tc>
                <w:tcPr>
                  <w:tcW w:w="1100" w:type="dxa"/>
                  <w:vMerge w:val="restart"/>
                  <w:shd w:val="clear" w:color="000000" w:fill="FFFFFF"/>
                  <w:noWrap/>
                  <w:vAlign w:val="center"/>
                </w:tcPr>
                <w:p>
                  <w:pPr>
                    <w:jc w:val="center"/>
                    <w:rPr>
                      <w:color w:val="auto"/>
                      <w:szCs w:val="21"/>
                      <w:highlight w:val="none"/>
                    </w:rPr>
                  </w:pPr>
                  <w:r>
                    <w:rPr>
                      <w:color w:val="auto"/>
                      <w:szCs w:val="21"/>
                      <w:highlight w:val="none"/>
                    </w:rPr>
                    <w:t>平均时间</w:t>
                  </w:r>
                </w:p>
              </w:tc>
              <w:tc>
                <w:tcPr>
                  <w:tcW w:w="1037" w:type="dxa"/>
                  <w:shd w:val="clear" w:color="000000" w:fill="FFFFFF"/>
                  <w:noWrap/>
                  <w:vAlign w:val="center"/>
                </w:tcPr>
                <w:p>
                  <w:pPr>
                    <w:jc w:val="center"/>
                    <w:rPr>
                      <w:color w:val="auto"/>
                      <w:szCs w:val="21"/>
                      <w:highlight w:val="none"/>
                    </w:rPr>
                  </w:pPr>
                  <w:r>
                    <w:rPr>
                      <w:color w:val="auto"/>
                      <w:szCs w:val="21"/>
                      <w:highlight w:val="none"/>
                    </w:rPr>
                    <w:t>评价标准</w:t>
                  </w:r>
                </w:p>
              </w:tc>
              <w:tc>
                <w:tcPr>
                  <w:tcW w:w="1500" w:type="dxa"/>
                  <w:vMerge w:val="restart"/>
                  <w:shd w:val="clear" w:color="000000" w:fill="FFFFFF"/>
                  <w:noWrap/>
                  <w:vAlign w:val="center"/>
                </w:tcPr>
                <w:p>
                  <w:pPr>
                    <w:jc w:val="center"/>
                    <w:rPr>
                      <w:color w:val="auto"/>
                      <w:szCs w:val="21"/>
                      <w:highlight w:val="none"/>
                    </w:rPr>
                  </w:pPr>
                  <w:r>
                    <w:rPr>
                      <w:color w:val="auto"/>
                      <w:szCs w:val="21"/>
                      <w:highlight w:val="none"/>
                    </w:rPr>
                    <w:t>监测浓度范围</w:t>
                  </w:r>
                </w:p>
              </w:tc>
              <w:tc>
                <w:tcPr>
                  <w:tcW w:w="880" w:type="dxa"/>
                  <w:vMerge w:val="restart"/>
                  <w:shd w:val="clear" w:color="000000" w:fill="FFFFFF"/>
                  <w:noWrap/>
                  <w:vAlign w:val="center"/>
                </w:tcPr>
                <w:p>
                  <w:pPr>
                    <w:jc w:val="center"/>
                    <w:rPr>
                      <w:color w:val="auto"/>
                      <w:szCs w:val="21"/>
                      <w:highlight w:val="none"/>
                    </w:rPr>
                  </w:pPr>
                  <w:r>
                    <w:rPr>
                      <w:color w:val="auto"/>
                      <w:szCs w:val="21"/>
                      <w:highlight w:val="none"/>
                    </w:rPr>
                    <w:t>最大浓度占标率/%</w:t>
                  </w:r>
                </w:p>
              </w:tc>
              <w:tc>
                <w:tcPr>
                  <w:tcW w:w="571" w:type="dxa"/>
                  <w:shd w:val="clear" w:color="000000" w:fill="FFFFFF"/>
                  <w:noWrap/>
                  <w:vAlign w:val="center"/>
                </w:tcPr>
                <w:p>
                  <w:pPr>
                    <w:jc w:val="center"/>
                    <w:rPr>
                      <w:color w:val="auto"/>
                      <w:szCs w:val="21"/>
                      <w:highlight w:val="none"/>
                    </w:rPr>
                  </w:pPr>
                  <w:r>
                    <w:rPr>
                      <w:color w:val="auto"/>
                      <w:szCs w:val="21"/>
                      <w:highlight w:val="none"/>
                    </w:rPr>
                    <w:t>超标概率/</w:t>
                  </w:r>
                </w:p>
              </w:tc>
              <w:tc>
                <w:tcPr>
                  <w:tcW w:w="584" w:type="dxa"/>
                  <w:vMerge w:val="restart"/>
                  <w:shd w:val="clear" w:color="000000" w:fill="FFFFFF"/>
                  <w:noWrap/>
                  <w:vAlign w:val="center"/>
                </w:tcPr>
                <w:p>
                  <w:pPr>
                    <w:jc w:val="center"/>
                    <w:rPr>
                      <w:color w:val="auto"/>
                      <w:szCs w:val="21"/>
                      <w:highlight w:val="none"/>
                    </w:rPr>
                  </w:pPr>
                  <w:r>
                    <w:rPr>
                      <w:color w:val="auto"/>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85" w:hRule="atLeast"/>
              </w:trPr>
              <w:tc>
                <w:tcPr>
                  <w:tcW w:w="1217" w:type="dxa"/>
                  <w:vMerge w:val="continue"/>
                  <w:shd w:val="clear" w:color="auto" w:fill="auto"/>
                  <w:noWrap/>
                  <w:vAlign w:val="center"/>
                </w:tcPr>
                <w:p>
                  <w:pPr>
                    <w:jc w:val="center"/>
                    <w:rPr>
                      <w:color w:val="auto"/>
                      <w:szCs w:val="21"/>
                      <w:highlight w:val="none"/>
                    </w:rPr>
                  </w:pPr>
                </w:p>
              </w:tc>
              <w:tc>
                <w:tcPr>
                  <w:tcW w:w="1150" w:type="dxa"/>
                  <w:vMerge w:val="continue"/>
                  <w:shd w:val="clear" w:color="auto" w:fill="auto"/>
                  <w:noWrap/>
                  <w:vAlign w:val="center"/>
                </w:tcPr>
                <w:p>
                  <w:pPr>
                    <w:jc w:val="center"/>
                    <w:rPr>
                      <w:color w:val="auto"/>
                      <w:szCs w:val="21"/>
                      <w:highlight w:val="none"/>
                    </w:rPr>
                  </w:pPr>
                </w:p>
              </w:tc>
              <w:tc>
                <w:tcPr>
                  <w:tcW w:w="1100" w:type="dxa"/>
                  <w:vMerge w:val="continue"/>
                  <w:shd w:val="clear" w:color="auto" w:fill="auto"/>
                  <w:noWrap/>
                  <w:vAlign w:val="center"/>
                </w:tcPr>
                <w:p>
                  <w:pPr>
                    <w:jc w:val="center"/>
                    <w:rPr>
                      <w:color w:val="auto"/>
                      <w:szCs w:val="21"/>
                      <w:highlight w:val="none"/>
                    </w:rPr>
                  </w:pPr>
                </w:p>
              </w:tc>
              <w:tc>
                <w:tcPr>
                  <w:tcW w:w="1037" w:type="dxa"/>
                  <w:shd w:val="clear" w:color="000000" w:fill="FFFFFF"/>
                  <w:noWrap/>
                  <w:vAlign w:val="center"/>
                </w:tcPr>
                <w:p>
                  <w:pPr>
                    <w:jc w:val="center"/>
                    <w:rPr>
                      <w:color w:val="auto"/>
                      <w:szCs w:val="21"/>
                      <w:highlight w:val="none"/>
                    </w:rPr>
                  </w:pPr>
                  <w:r>
                    <w:rPr>
                      <w:color w:val="auto"/>
                      <w:szCs w:val="21"/>
                      <w:highlight w:val="none"/>
                    </w:rPr>
                    <w:t>（</w:t>
                  </w:r>
                  <w:r>
                    <w:rPr>
                      <w:rFonts w:hint="default" w:ascii="Times New Roman" w:hAnsi="Times New Roman" w:cs="Times New Roman"/>
                      <w:color w:val="auto"/>
                      <w:szCs w:val="21"/>
                      <w:highlight w:val="none"/>
                    </w:rPr>
                    <w:t>mg</w:t>
                  </w:r>
                  <w:r>
                    <w:rPr>
                      <w:color w:val="auto"/>
                      <w:szCs w:val="21"/>
                      <w:highlight w:val="none"/>
                    </w:rPr>
                    <w:t>/</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color w:val="auto"/>
                      <w:szCs w:val="21"/>
                      <w:highlight w:val="none"/>
                    </w:rPr>
                    <w:t>）</w:t>
                  </w:r>
                </w:p>
              </w:tc>
              <w:tc>
                <w:tcPr>
                  <w:tcW w:w="1500" w:type="dxa"/>
                  <w:vMerge w:val="continue"/>
                  <w:shd w:val="clear" w:color="auto" w:fill="auto"/>
                  <w:noWrap/>
                  <w:vAlign w:val="center"/>
                </w:tcPr>
                <w:p>
                  <w:pPr>
                    <w:jc w:val="center"/>
                    <w:rPr>
                      <w:color w:val="auto"/>
                      <w:szCs w:val="21"/>
                      <w:highlight w:val="none"/>
                    </w:rPr>
                  </w:pPr>
                </w:p>
              </w:tc>
              <w:tc>
                <w:tcPr>
                  <w:tcW w:w="880" w:type="dxa"/>
                  <w:vMerge w:val="continue"/>
                  <w:shd w:val="clear" w:color="auto" w:fill="auto"/>
                  <w:noWrap/>
                  <w:vAlign w:val="center"/>
                </w:tcPr>
                <w:p>
                  <w:pPr>
                    <w:jc w:val="center"/>
                    <w:rPr>
                      <w:color w:val="auto"/>
                      <w:szCs w:val="21"/>
                      <w:highlight w:val="none"/>
                    </w:rPr>
                  </w:pPr>
                </w:p>
              </w:tc>
              <w:tc>
                <w:tcPr>
                  <w:tcW w:w="571" w:type="dxa"/>
                  <w:shd w:val="clear" w:color="000000" w:fill="FFFFFF"/>
                  <w:noWrap/>
                  <w:vAlign w:val="center"/>
                </w:tcPr>
                <w:p>
                  <w:pPr>
                    <w:jc w:val="center"/>
                    <w:rPr>
                      <w:color w:val="auto"/>
                      <w:szCs w:val="21"/>
                      <w:highlight w:val="none"/>
                    </w:rPr>
                  </w:pPr>
                  <w:r>
                    <w:rPr>
                      <w:color w:val="auto"/>
                      <w:szCs w:val="21"/>
                      <w:highlight w:val="none"/>
                    </w:rPr>
                    <w:t>%</w:t>
                  </w:r>
                </w:p>
              </w:tc>
              <w:tc>
                <w:tcPr>
                  <w:tcW w:w="584" w:type="dxa"/>
                  <w:vMerge w:val="continue"/>
                  <w:noWrap/>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632" w:hRule="atLeast"/>
              </w:trPr>
              <w:tc>
                <w:tcPr>
                  <w:tcW w:w="1217" w:type="dxa"/>
                  <w:noWrap/>
                  <w:vAlign w:val="center"/>
                </w:tcPr>
                <w:p>
                  <w:pPr>
                    <w:jc w:val="center"/>
                    <w:rPr>
                      <w:color w:val="auto"/>
                      <w:szCs w:val="21"/>
                      <w:highlight w:val="none"/>
                    </w:rPr>
                  </w:pPr>
                  <w:r>
                    <w:rPr>
                      <w:rFonts w:hint="default" w:ascii="Times New Roman" w:hAnsi="Times New Roman" w:cs="Times New Roman"/>
                      <w:color w:val="auto"/>
                      <w:szCs w:val="21"/>
                      <w:highlight w:val="none"/>
                    </w:rPr>
                    <w:t>1</w:t>
                  </w:r>
                  <w:r>
                    <w:rPr>
                      <w:color w:val="auto"/>
                      <w:szCs w:val="21"/>
                      <w:highlight w:val="none"/>
                    </w:rPr>
                    <w:t>#</w:t>
                  </w:r>
                  <w:r>
                    <w:rPr>
                      <w:rFonts w:hint="eastAsia"/>
                      <w:color w:val="auto"/>
                      <w:szCs w:val="21"/>
                      <w:highlight w:val="none"/>
                    </w:rPr>
                    <w:t>厂界</w:t>
                  </w:r>
                  <w:r>
                    <w:rPr>
                      <w:rFonts w:hint="eastAsia"/>
                      <w:color w:val="auto"/>
                      <w:szCs w:val="21"/>
                      <w:highlight w:val="none"/>
                      <w:lang w:eastAsia="zh-CN"/>
                    </w:rPr>
                    <w:t>下风向</w:t>
                  </w:r>
                </w:p>
              </w:tc>
              <w:tc>
                <w:tcPr>
                  <w:tcW w:w="1150" w:type="dxa"/>
                  <w:noWrap/>
                  <w:vAlign w:val="center"/>
                </w:tcPr>
                <w:p>
                  <w:pPr>
                    <w:jc w:val="center"/>
                    <w:rPr>
                      <w:color w:val="auto"/>
                      <w:szCs w:val="21"/>
                      <w:highlight w:val="none"/>
                    </w:rPr>
                  </w:pPr>
                  <w:r>
                    <w:rPr>
                      <w:rFonts w:hint="default" w:ascii="Times New Roman" w:hAnsi="Times New Roman" w:cs="Times New Roman"/>
                      <w:color w:val="auto"/>
                      <w:szCs w:val="21"/>
                      <w:highlight w:val="none"/>
                    </w:rPr>
                    <w:t>TSP</w:t>
                  </w:r>
                </w:p>
              </w:tc>
              <w:tc>
                <w:tcPr>
                  <w:tcW w:w="1100" w:type="dxa"/>
                  <w:noWrap/>
                  <w:vAlign w:val="center"/>
                </w:tcPr>
                <w:p>
                  <w:pPr>
                    <w:jc w:val="center"/>
                    <w:rPr>
                      <w:color w:val="auto"/>
                      <w:szCs w:val="21"/>
                      <w:highlight w:val="none"/>
                    </w:rPr>
                  </w:pPr>
                  <w:r>
                    <w:rPr>
                      <w:rFonts w:hint="default" w:ascii="Times New Roman" w:hAnsi="Times New Roman" w:cs="Times New Roman"/>
                      <w:color w:val="auto"/>
                      <w:szCs w:val="21"/>
                      <w:highlight w:val="none"/>
                    </w:rPr>
                    <w:t>24h</w:t>
                  </w:r>
                  <w:r>
                    <w:rPr>
                      <w:rFonts w:hint="eastAsia"/>
                      <w:color w:val="auto"/>
                      <w:szCs w:val="21"/>
                      <w:highlight w:val="none"/>
                    </w:rPr>
                    <w:t>均值</w:t>
                  </w:r>
                </w:p>
              </w:tc>
              <w:tc>
                <w:tcPr>
                  <w:tcW w:w="1037" w:type="dxa"/>
                  <w:noWrap/>
                  <w:vAlign w:val="center"/>
                </w:tcPr>
                <w:p>
                  <w:pPr>
                    <w:jc w:val="center"/>
                    <w:rPr>
                      <w:color w:val="auto"/>
                      <w:szCs w:val="21"/>
                      <w:highlight w:val="none"/>
                    </w:rPr>
                  </w:pPr>
                  <w:r>
                    <w:rPr>
                      <w:rFonts w:hint="default" w:ascii="Times New Roman" w:hAnsi="Times New Roman" w:cs="Times New Roman"/>
                      <w:color w:val="auto"/>
                      <w:szCs w:val="21"/>
                      <w:highlight w:val="none"/>
                    </w:rPr>
                    <w:t>0</w:t>
                  </w:r>
                  <w:r>
                    <w:rPr>
                      <w:rFonts w:hint="eastAsia"/>
                      <w:color w:val="auto"/>
                      <w:szCs w:val="21"/>
                      <w:highlight w:val="none"/>
                    </w:rPr>
                    <w:t>.</w:t>
                  </w:r>
                  <w:r>
                    <w:rPr>
                      <w:rFonts w:hint="default" w:ascii="Times New Roman" w:hAnsi="Times New Roman" w:cs="Times New Roman"/>
                      <w:color w:val="auto"/>
                      <w:szCs w:val="21"/>
                      <w:highlight w:val="none"/>
                    </w:rPr>
                    <w:t>3</w:t>
                  </w:r>
                </w:p>
              </w:tc>
              <w:tc>
                <w:tcPr>
                  <w:tcW w:w="1500" w:type="dxa"/>
                  <w:noWrap/>
                  <w:vAlign w:val="center"/>
                </w:tcPr>
                <w:p>
                  <w:pPr>
                    <w:jc w:val="center"/>
                    <w:rPr>
                      <w:rFonts w:eastAsia="仿宋_GB2312"/>
                      <w:color w:val="auto"/>
                      <w:szCs w:val="21"/>
                      <w:highlight w:val="none"/>
                    </w:rPr>
                  </w:pPr>
                  <w:r>
                    <w:rPr>
                      <w:rFonts w:hint="default" w:ascii="Times New Roman" w:hAnsi="Times New Roman" w:eastAsia="仿宋_GB2312" w:cs="Times New Roman"/>
                      <w:color w:val="auto"/>
                      <w:szCs w:val="21"/>
                      <w:highlight w:val="none"/>
                      <w:lang w:val="en-US" w:eastAsia="zh-CN"/>
                    </w:rPr>
                    <w:t>0</w:t>
                  </w:r>
                  <w:r>
                    <w:rPr>
                      <w:rFonts w:hint="eastAsia" w:eastAsia="仿宋_GB2312"/>
                      <w:color w:val="auto"/>
                      <w:szCs w:val="21"/>
                      <w:highlight w:val="none"/>
                      <w:lang w:val="en-US" w:eastAsia="zh-CN"/>
                    </w:rPr>
                    <w:t>.</w:t>
                  </w:r>
                  <w:r>
                    <w:rPr>
                      <w:rFonts w:hint="eastAsia" w:eastAsia="仿宋_GB2312" w:cs="Times New Roman"/>
                      <w:color w:val="auto"/>
                      <w:szCs w:val="21"/>
                      <w:highlight w:val="none"/>
                      <w:lang w:val="en-US" w:eastAsia="zh-CN"/>
                    </w:rPr>
                    <w:t>087</w:t>
                  </w:r>
                  <w:r>
                    <w:rPr>
                      <w:rFonts w:eastAsia="仿宋_GB2312"/>
                      <w:color w:val="auto"/>
                      <w:szCs w:val="21"/>
                      <w:highlight w:val="none"/>
                    </w:rPr>
                    <w:t>～</w:t>
                  </w:r>
                  <w:r>
                    <w:rPr>
                      <w:rFonts w:hint="default" w:ascii="Times New Roman" w:hAnsi="Times New Roman" w:eastAsia="仿宋_GB2312" w:cs="Times New Roman"/>
                      <w:color w:val="auto"/>
                      <w:szCs w:val="21"/>
                      <w:highlight w:val="none"/>
                      <w:lang w:val="en-US" w:eastAsia="zh-CN"/>
                    </w:rPr>
                    <w:t>0</w:t>
                  </w:r>
                  <w:r>
                    <w:rPr>
                      <w:rFonts w:hint="eastAsia" w:eastAsia="仿宋_GB2312"/>
                      <w:color w:val="auto"/>
                      <w:szCs w:val="21"/>
                      <w:highlight w:val="none"/>
                      <w:lang w:val="en-US" w:eastAsia="zh-CN"/>
                    </w:rPr>
                    <w:t>.</w:t>
                  </w:r>
                  <w:r>
                    <w:rPr>
                      <w:rFonts w:hint="eastAsia" w:eastAsia="仿宋_GB2312" w:cs="Times New Roman"/>
                      <w:color w:val="auto"/>
                      <w:szCs w:val="21"/>
                      <w:highlight w:val="none"/>
                      <w:lang w:val="en-US" w:eastAsia="zh-CN"/>
                    </w:rPr>
                    <w:t>092</w:t>
                  </w:r>
                  <w:r>
                    <w:rPr>
                      <w:rFonts w:hint="default" w:ascii="Times New Roman" w:hAnsi="Times New Roman" w:cs="Times New Roman"/>
                      <w:color w:val="auto"/>
                      <w:szCs w:val="21"/>
                      <w:highlight w:val="none"/>
                    </w:rPr>
                    <w:t>mg</w:t>
                  </w:r>
                  <w:r>
                    <w:rPr>
                      <w:color w:val="auto"/>
                      <w:szCs w:val="21"/>
                      <w:highlight w:val="none"/>
                    </w:rPr>
                    <w:t>/</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80" w:type="dxa"/>
                  <w:noWrap/>
                  <w:vAlign w:val="center"/>
                </w:tcPr>
                <w:p>
                  <w:pPr>
                    <w:jc w:val="center"/>
                    <w:rPr>
                      <w:rFonts w:hint="default" w:eastAsia="宋体"/>
                      <w:color w:val="auto"/>
                      <w:szCs w:val="21"/>
                      <w:highlight w:val="none"/>
                      <w:lang w:val="en-US" w:eastAsia="zh-CN"/>
                    </w:rPr>
                  </w:pPr>
                  <w:r>
                    <w:rPr>
                      <w:rFonts w:hint="eastAsia" w:cs="Times New Roman"/>
                      <w:color w:val="auto"/>
                      <w:szCs w:val="21"/>
                      <w:highlight w:val="none"/>
                      <w:lang w:val="en-US" w:eastAsia="zh-CN"/>
                    </w:rPr>
                    <w:t>30.67</w:t>
                  </w:r>
                </w:p>
              </w:tc>
              <w:tc>
                <w:tcPr>
                  <w:tcW w:w="571" w:type="dxa"/>
                  <w:noWrap/>
                  <w:vAlign w:val="center"/>
                </w:tcPr>
                <w:p>
                  <w:pPr>
                    <w:jc w:val="center"/>
                    <w:rPr>
                      <w:color w:val="auto"/>
                      <w:szCs w:val="21"/>
                      <w:highlight w:val="none"/>
                    </w:rPr>
                  </w:pPr>
                  <w:r>
                    <w:rPr>
                      <w:rFonts w:hint="default" w:ascii="Times New Roman" w:hAnsi="Times New Roman" w:cs="Times New Roman"/>
                      <w:color w:val="auto"/>
                      <w:szCs w:val="21"/>
                      <w:highlight w:val="none"/>
                    </w:rPr>
                    <w:t>0</w:t>
                  </w:r>
                </w:p>
              </w:tc>
              <w:tc>
                <w:tcPr>
                  <w:tcW w:w="584" w:type="dxa"/>
                  <w:noWrap/>
                  <w:vAlign w:val="center"/>
                </w:tcPr>
                <w:p>
                  <w:pPr>
                    <w:jc w:val="center"/>
                    <w:rPr>
                      <w:color w:val="auto"/>
                      <w:szCs w:val="21"/>
                      <w:highlight w:val="none"/>
                    </w:rPr>
                  </w:pPr>
                  <w:r>
                    <w:rPr>
                      <w:color w:val="auto"/>
                      <w:szCs w:val="21"/>
                      <w:highlight w:val="none"/>
                    </w:rPr>
                    <w:t>达标</w:t>
                  </w:r>
                </w:p>
              </w:tc>
            </w:tr>
          </w:tbl>
          <w:p>
            <w:pPr>
              <w:spacing w:line="360" w:lineRule="auto"/>
              <w:ind w:firstLine="480" w:firstLineChars="200"/>
              <w:rPr>
                <w:rFonts w:hint="eastAsia" w:ascii="Times New Roman" w:hAnsi="Times New Roman" w:eastAsia="宋体" w:cs="Times New Roman"/>
                <w:bCs/>
                <w:color w:val="auto"/>
                <w:kern w:val="2"/>
                <w:sz w:val="24"/>
                <w:szCs w:val="24"/>
                <w:highlight w:val="none"/>
                <w:lang w:val="en-US" w:eastAsia="zh-CN" w:bidi="ar-SA"/>
              </w:rPr>
            </w:pPr>
            <w:bookmarkStart w:id="21" w:name="_Hlk84528908"/>
            <w:r>
              <w:rPr>
                <w:rFonts w:hint="eastAsia" w:ascii="Times New Roman" w:hAnsi="Times New Roman" w:eastAsia="宋体" w:cs="Times New Roman"/>
                <w:color w:val="auto"/>
                <w:kern w:val="2"/>
                <w:sz w:val="24"/>
                <w:szCs w:val="24"/>
                <w:highlight w:val="none"/>
                <w:lang w:val="en-GB" w:eastAsia="zh-CN" w:bidi="ar-SA"/>
              </w:rPr>
              <w:t>根据表</w:t>
            </w:r>
            <w:r>
              <w:rPr>
                <w:rFonts w:hint="default" w:ascii="Times New Roman" w:hAnsi="Times New Roman" w:eastAsia="宋体" w:cs="Times New Roman"/>
                <w:color w:val="auto"/>
                <w:kern w:val="2"/>
                <w:sz w:val="24"/>
                <w:szCs w:val="24"/>
                <w:highlight w:val="none"/>
                <w:lang w:val="en-GB" w:eastAsia="zh-CN" w:bidi="ar-SA"/>
              </w:rPr>
              <w:t>3-</w:t>
            </w:r>
            <w:r>
              <w:rPr>
                <w:rFonts w:hint="default" w:ascii="Times New Roman" w:hAnsi="Times New Roman" w:eastAsia="宋体"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GB" w:eastAsia="zh-CN" w:bidi="ar-SA"/>
              </w:rPr>
              <w:t>，</w:t>
            </w:r>
            <w:bookmarkEnd w:id="21"/>
            <w:r>
              <w:rPr>
                <w:rFonts w:hint="default" w:ascii="Times New Roman" w:hAnsi="Times New Roman" w:eastAsia="宋体" w:cs="Times New Roman"/>
                <w:color w:val="auto"/>
                <w:kern w:val="2"/>
                <w:sz w:val="24"/>
                <w:szCs w:val="24"/>
                <w:highlight w:val="none"/>
                <w:lang w:val="en-US" w:eastAsia="zh-CN" w:bidi="ar-SA"/>
              </w:rPr>
              <w:t>TSP24</w:t>
            </w:r>
            <w:r>
              <w:rPr>
                <w:rFonts w:hint="eastAsia" w:ascii="Times New Roman" w:hAnsi="Times New Roman" w:eastAsia="宋体" w:cs="Times New Roman"/>
                <w:color w:val="auto"/>
                <w:kern w:val="2"/>
                <w:sz w:val="24"/>
                <w:szCs w:val="24"/>
                <w:highlight w:val="none"/>
                <w:lang w:val="en-US" w:eastAsia="zh-CN" w:bidi="ar-SA"/>
              </w:rPr>
              <w:t>小时平均浓度满足《环境空气质量标准》 （</w:t>
            </w:r>
            <w:r>
              <w:rPr>
                <w:rFonts w:hint="default" w:ascii="Times New Roman" w:hAnsi="Times New Roman" w:eastAsia="宋体" w:cs="Times New Roman"/>
                <w:color w:val="auto"/>
                <w:kern w:val="2"/>
                <w:sz w:val="24"/>
                <w:szCs w:val="24"/>
                <w:highlight w:val="none"/>
                <w:lang w:val="en-US" w:eastAsia="zh-CN" w:bidi="ar-SA"/>
              </w:rPr>
              <w:t>GB3095-2012</w:t>
            </w:r>
            <w:r>
              <w:rPr>
                <w:rFonts w:hint="eastAsia" w:ascii="Times New Roman" w:hAnsi="Times New Roman" w:eastAsia="宋体" w:cs="Times New Roman"/>
                <w:color w:val="auto"/>
                <w:kern w:val="2"/>
                <w:sz w:val="24"/>
                <w:szCs w:val="24"/>
                <w:highlight w:val="none"/>
                <w:lang w:val="en-US" w:eastAsia="zh-CN" w:bidi="ar-SA"/>
              </w:rPr>
              <w:t>）及修改单中二级标准限值要求。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二、地表水环境质量现状</w:t>
            </w:r>
          </w:p>
          <w:p>
            <w:pPr>
              <w:pStyle w:val="3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GB" w:eastAsia="zh-CN" w:bidi="ar-SA"/>
              </w:rPr>
              <w:t>本项目附近地表水为嘉荫河，嘉荫河执行《地表水环境质量标准》（GB3838-2002）Ⅳ类标准。</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color w:val="auto"/>
                <w:sz w:val="24"/>
              </w:rPr>
            </w:pPr>
            <w:r>
              <w:rPr>
                <w:rFonts w:hint="default" w:ascii="Times New Roman" w:hAnsi="Times New Roman" w:eastAsia="宋体" w:cs="Times New Roman"/>
                <w:b/>
                <w:bCs/>
                <w:color w:val="auto"/>
                <w:sz w:val="24"/>
                <w:highlight w:val="none"/>
                <w:lang w:val="zh-CN"/>
              </w:rPr>
              <w:t>三、声环境</w:t>
            </w:r>
            <w:r>
              <w:rPr>
                <w:rFonts w:hint="default" w:ascii="Times New Roman" w:hAnsi="Times New Roman" w:cs="Times New Roman"/>
                <w:b/>
                <w:bCs/>
                <w:color w:val="auto"/>
                <w:sz w:val="24"/>
                <w:highlight w:val="none"/>
                <w:lang w:val="zh-CN"/>
              </w:rPr>
              <w:t>质量现状</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GB"/>
              </w:rPr>
            </w:pPr>
            <w:r>
              <w:rPr>
                <w:rFonts w:hint="eastAsia"/>
                <w:color w:val="auto"/>
                <w:sz w:val="24"/>
                <w:highlight w:val="none"/>
              </w:rPr>
              <w:t>根据《</w:t>
            </w:r>
            <w:r>
              <w:rPr>
                <w:color w:val="auto"/>
                <w:sz w:val="24"/>
                <w:highlight w:val="none"/>
              </w:rPr>
              <w:t>202</w:t>
            </w:r>
            <w:r>
              <w:rPr>
                <w:rFonts w:hint="eastAsia"/>
                <w:color w:val="auto"/>
                <w:sz w:val="24"/>
                <w:highlight w:val="none"/>
                <w:lang w:val="en-US" w:eastAsia="zh-CN"/>
              </w:rPr>
              <w:t>4</w:t>
            </w:r>
            <w:r>
              <w:rPr>
                <w:rFonts w:hint="eastAsia"/>
                <w:color w:val="auto"/>
                <w:sz w:val="24"/>
                <w:highlight w:val="none"/>
              </w:rPr>
              <w:t>年</w:t>
            </w:r>
            <w:r>
              <w:rPr>
                <w:rFonts w:hint="eastAsia"/>
                <w:color w:val="auto"/>
                <w:sz w:val="24"/>
                <w:highlight w:val="none"/>
                <w:lang w:eastAsia="zh-CN"/>
              </w:rPr>
              <w:t>伊春</w:t>
            </w:r>
            <w:r>
              <w:rPr>
                <w:rFonts w:hint="eastAsia"/>
                <w:color w:val="auto"/>
                <w:sz w:val="24"/>
                <w:highlight w:val="none"/>
              </w:rPr>
              <w:t>市生态环境状况公报</w:t>
            </w:r>
            <w:r>
              <w:rPr>
                <w:rFonts w:hint="eastAsia"/>
                <w:color w:val="auto"/>
                <w:sz w:val="24"/>
                <w:highlight w:val="none"/>
                <w:lang w:val="zh-TW" w:eastAsia="zh-TW"/>
              </w:rPr>
              <w:t>》</w:t>
            </w:r>
            <w:r>
              <w:rPr>
                <w:rFonts w:hint="eastAsia"/>
                <w:color w:val="auto"/>
                <w:sz w:val="24"/>
                <w:highlight w:val="none"/>
                <w:lang w:val="zh-TW"/>
              </w:rPr>
              <w:t>可知</w:t>
            </w:r>
            <w:r>
              <w:rPr>
                <w:rFonts w:hint="eastAsia"/>
                <w:color w:val="auto"/>
                <w:sz w:val="24"/>
                <w:highlight w:val="none"/>
                <w:lang w:val="zh-TW" w:eastAsia="zh-CN"/>
              </w:rPr>
              <w:t>伊春</w:t>
            </w:r>
            <w:r>
              <w:rPr>
                <w:rFonts w:hint="eastAsia"/>
                <w:color w:val="auto"/>
                <w:sz w:val="24"/>
                <w:highlight w:val="none"/>
                <w:lang w:val="zh-TW"/>
              </w:rPr>
              <w:t>市区域噪声等效声级，2024年度，对各功能区声环境监测点位共进行4次监测，各监测点噪声昼间等效声级达标率为100%，同比无变化;夜间等效声级达标率为100%，同比无变化。区域环境噪声总体水平等级为二级，评价为“较好”</w:t>
            </w:r>
            <w:r>
              <w:rPr>
                <w:rFonts w:hint="eastAsia"/>
                <w:color w:val="auto"/>
                <w:sz w:val="24"/>
                <w:highlight w:val="none"/>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color w:val="auto"/>
                <w:highlight w:val="none"/>
                <w:lang w:val="zh-CN"/>
              </w:rPr>
            </w:pPr>
            <w:r>
              <w:rPr>
                <w:color w:val="auto"/>
                <w:sz w:val="24"/>
                <w:highlight w:val="none"/>
              </w:rPr>
              <w:t>根据</w:t>
            </w:r>
            <w:r>
              <w:rPr>
                <w:rFonts w:hint="eastAsia"/>
                <w:color w:val="auto"/>
                <w:sz w:val="24"/>
                <w:highlight w:val="none"/>
              </w:rPr>
              <w:t>《建设项目环境影响报告表编制技术指南》（污染影响类）中相关要求：</w:t>
            </w:r>
            <w:r>
              <w:rPr>
                <w:color w:val="auto"/>
                <w:sz w:val="24"/>
                <w:highlight w:val="none"/>
              </w:rPr>
              <w:t>周边50米范围内不存在声环境保护目标，因此未进行声环境质量现状监测。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rPr>
            </w:pPr>
            <w:r>
              <w:rPr>
                <w:b/>
                <w:bCs/>
                <w:color w:val="auto"/>
                <w:sz w:val="24"/>
              </w:rPr>
              <w:t>四、生态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本项目用地性质为</w:t>
            </w:r>
            <w:r>
              <w:rPr>
                <w:rFonts w:hint="eastAsia"/>
                <w:color w:val="auto"/>
                <w:sz w:val="24"/>
                <w:lang w:eastAsia="zh-CN"/>
              </w:rPr>
              <w:t>工业</w:t>
            </w:r>
            <w:r>
              <w:rPr>
                <w:color w:val="auto"/>
                <w:sz w:val="24"/>
              </w:rPr>
              <w:t>用地，本项目周围无生态环境敏感目标，本项目占地范围内无特殊生态敏感区及重要生态敏感区等生态环境保护目标。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59" w:hRule="atLeast"/>
          <w:jc w:val="center"/>
        </w:trPr>
        <w:tc>
          <w:tcPr>
            <w:tcW w:w="806" w:type="dxa"/>
            <w:vAlign w:val="center"/>
          </w:tcPr>
          <w:p>
            <w:pPr>
              <w:adjustRightInd w:val="0"/>
              <w:snapToGrid w:val="0"/>
              <w:jc w:val="center"/>
              <w:rPr>
                <w:rFonts w:ascii="Times New Roman" w:hAnsi="Times New Roman" w:eastAsia="宋体" w:cs="Times New Roman"/>
                <w:b/>
                <w:bCs/>
                <w:color w:val="auto"/>
                <w:kern w:val="0"/>
                <w:sz w:val="24"/>
                <w:szCs w:val="24"/>
                <w:highlight w:val="none"/>
              </w:rPr>
            </w:pPr>
            <w:r>
              <w:rPr>
                <w:rFonts w:ascii="Times New Roman" w:hAnsi="Times New Roman" w:eastAsia="宋体" w:cs="Times New Roman"/>
                <w:b/>
                <w:bCs/>
                <w:color w:val="auto"/>
                <w:kern w:val="0"/>
                <w:sz w:val="24"/>
                <w:szCs w:val="24"/>
                <w:highlight w:val="none"/>
              </w:rPr>
              <w:t>环境</w:t>
            </w:r>
          </w:p>
          <w:p>
            <w:pPr>
              <w:adjustRightInd w:val="0"/>
              <w:snapToGrid w:val="0"/>
              <w:jc w:val="center"/>
              <w:rPr>
                <w:rFonts w:ascii="Times New Roman" w:hAnsi="Times New Roman" w:eastAsia="宋体" w:cs="Times New Roman"/>
                <w:b/>
                <w:bCs/>
                <w:color w:val="auto"/>
                <w:kern w:val="0"/>
                <w:sz w:val="24"/>
                <w:szCs w:val="24"/>
                <w:highlight w:val="none"/>
              </w:rPr>
            </w:pPr>
            <w:r>
              <w:rPr>
                <w:rFonts w:ascii="Times New Roman" w:hAnsi="Times New Roman" w:eastAsia="宋体" w:cs="Times New Roman"/>
                <w:b/>
                <w:bCs/>
                <w:color w:val="auto"/>
                <w:kern w:val="0"/>
                <w:sz w:val="24"/>
                <w:szCs w:val="24"/>
                <w:highlight w:val="none"/>
              </w:rPr>
              <w:t>保护</w:t>
            </w:r>
          </w:p>
          <w:p>
            <w:pPr>
              <w:adjustRightInd w:val="0"/>
              <w:snapToGrid w:val="0"/>
              <w:jc w:val="center"/>
              <w:rPr>
                <w:color w:val="auto"/>
                <w:kern w:val="0"/>
                <w:szCs w:val="21"/>
                <w:highlight w:val="none"/>
              </w:rPr>
            </w:pPr>
            <w:r>
              <w:rPr>
                <w:rFonts w:ascii="Times New Roman" w:hAnsi="Times New Roman" w:eastAsia="宋体" w:cs="Times New Roman"/>
                <w:b/>
                <w:bCs/>
                <w:color w:val="auto"/>
                <w:kern w:val="0"/>
                <w:sz w:val="24"/>
                <w:szCs w:val="24"/>
                <w:highlight w:val="none"/>
              </w:rPr>
              <w:t>目标</w:t>
            </w:r>
          </w:p>
        </w:tc>
        <w:tc>
          <w:tcPr>
            <w:tcW w:w="8255" w:type="dxa"/>
          </w:tcPr>
          <w:p>
            <w:pPr>
              <w:keepNext w:val="0"/>
              <w:keepLines w:val="0"/>
              <w:pageBreakBefore w:val="0"/>
              <w:widowControl w:val="0"/>
              <w:kinsoku/>
              <w:wordWrap/>
              <w:overflowPunct/>
              <w:autoSpaceDE/>
              <w:autoSpaceDN/>
              <w:bidi w:val="0"/>
              <w:adjustRightInd/>
              <w:snapToGrid/>
              <w:spacing w:line="360" w:lineRule="auto"/>
              <w:ind w:firstLine="480" w:firstLineChars="200"/>
              <w:rPr>
                <w:color w:val="auto"/>
                <w:sz w:val="24"/>
                <w:highlight w:val="none"/>
              </w:rPr>
            </w:pPr>
            <w:r>
              <w:rPr>
                <w:color w:val="auto"/>
                <w:sz w:val="24"/>
                <w:highlight w:val="none"/>
              </w:rPr>
              <w:t>本项目厂址区域内无国家、省、市级自然保护区、风景名胜区、世界文化和自然遗产地、海洋特别保护区、基本农田保护区、基本草原、森林公园、地质公园、重要湿地、天然林、野生动物重要栖息地、重点保护野生植物生长繁殖地、重要水生生物的自然产卵场、索饵场、越冬场和洄游通道、天然渔场、沙化土地封禁保护区、封闭及半封闭海域等环境敏感区。</w:t>
            </w:r>
          </w:p>
          <w:p>
            <w:pPr>
              <w:keepNext w:val="0"/>
              <w:keepLines w:val="0"/>
              <w:pageBreakBefore w:val="0"/>
              <w:widowControl w:val="0"/>
              <w:kinsoku/>
              <w:wordWrap/>
              <w:overflowPunct/>
              <w:autoSpaceDE/>
              <w:autoSpaceDN/>
              <w:bidi w:val="0"/>
              <w:adjustRightInd/>
              <w:snapToGrid/>
              <w:spacing w:line="360" w:lineRule="auto"/>
              <w:ind w:firstLine="482" w:firstLineChars="200"/>
              <w:rPr>
                <w:b/>
                <w:bCs/>
                <w:color w:val="auto"/>
                <w:sz w:val="24"/>
                <w:highlight w:val="none"/>
              </w:rPr>
            </w:pPr>
            <w:r>
              <w:rPr>
                <w:rFonts w:hint="default" w:ascii="Times New Roman" w:hAnsi="Times New Roman" w:cs="Times New Roman"/>
                <w:b/>
                <w:bCs/>
                <w:color w:val="auto"/>
                <w:sz w:val="24"/>
                <w:highlight w:val="none"/>
              </w:rPr>
              <w:t>1</w:t>
            </w:r>
            <w:r>
              <w:rPr>
                <w:rFonts w:hint="eastAsia"/>
                <w:b/>
                <w:bCs/>
                <w:color w:val="auto"/>
                <w:sz w:val="24"/>
                <w:highlight w:val="none"/>
              </w:rPr>
              <w:t>、</w:t>
            </w:r>
            <w:r>
              <w:rPr>
                <w:b/>
                <w:bCs/>
                <w:color w:val="auto"/>
                <w:sz w:val="24"/>
                <w:highlight w:val="none"/>
              </w:rPr>
              <w:t>大气环境保护目标</w:t>
            </w:r>
          </w:p>
          <w:p>
            <w:pPr>
              <w:keepNext w:val="0"/>
              <w:keepLines w:val="0"/>
              <w:pageBreakBefore w:val="0"/>
              <w:widowControl w:val="0"/>
              <w:kinsoku/>
              <w:wordWrap/>
              <w:overflowPunct/>
              <w:autoSpaceDE/>
              <w:autoSpaceDN/>
              <w:bidi w:val="0"/>
              <w:adjustRightInd/>
              <w:snapToGrid/>
              <w:spacing w:line="360" w:lineRule="auto"/>
              <w:ind w:firstLine="480" w:firstLineChars="200"/>
              <w:rPr>
                <w:rFonts w:hint="eastAsia" w:cs="Times New Roman"/>
                <w:color w:val="auto"/>
                <w:sz w:val="24"/>
                <w:szCs w:val="24"/>
                <w:highlight w:val="none"/>
                <w:lang w:eastAsia="zh-CN"/>
              </w:rPr>
            </w:pPr>
            <w:bookmarkStart w:id="22" w:name="_Toc171173100"/>
            <w:r>
              <w:rPr>
                <w:rFonts w:hint="eastAsia" w:ascii="Times New Roman" w:hAnsi="Times New Roman" w:eastAsia="宋体" w:cs="Times New Roman"/>
                <w:color w:val="auto"/>
                <w:sz w:val="24"/>
                <w:szCs w:val="24"/>
                <w:highlight w:val="none"/>
              </w:rPr>
              <w:t>根据现场勘查，本项目厂界外</w:t>
            </w:r>
            <w:r>
              <w:rPr>
                <w:rFonts w:hint="default" w:ascii="Times New Roman" w:hAnsi="Times New Roman" w:eastAsia="宋体" w:cs="Times New Roman"/>
                <w:color w:val="auto"/>
                <w:sz w:val="24"/>
                <w:szCs w:val="24"/>
                <w:highlight w:val="none"/>
              </w:rPr>
              <w:t>500</w:t>
            </w:r>
            <w:r>
              <w:rPr>
                <w:rFonts w:hint="eastAsia" w:ascii="Times New Roman" w:hAnsi="Times New Roman" w:eastAsia="宋体" w:cs="Times New Roman"/>
                <w:color w:val="auto"/>
                <w:sz w:val="24"/>
                <w:szCs w:val="24"/>
                <w:highlight w:val="none"/>
              </w:rPr>
              <w:t>米范围内</w:t>
            </w:r>
            <w:r>
              <w:rPr>
                <w:rFonts w:hint="eastAsia" w:cs="Times New Roman"/>
                <w:color w:val="auto"/>
                <w:sz w:val="24"/>
                <w:szCs w:val="24"/>
                <w:highlight w:val="none"/>
                <w:lang w:val="en-US" w:eastAsia="zh-CN"/>
              </w:rPr>
              <w:t>无</w:t>
            </w:r>
            <w:r>
              <w:rPr>
                <w:rFonts w:hint="eastAsia" w:ascii="Times New Roman" w:hAnsi="Times New Roman" w:eastAsia="宋体" w:cs="Times New Roman"/>
                <w:color w:val="auto"/>
                <w:sz w:val="24"/>
                <w:szCs w:val="24"/>
                <w:highlight w:val="none"/>
              </w:rPr>
              <w:t>大气环境保护目标</w:t>
            </w:r>
            <w:bookmarkEnd w:id="22"/>
            <w:r>
              <w:rPr>
                <w:rFonts w:hint="eastAsia" w:cs="Times New Roman"/>
                <w:color w:val="auto"/>
                <w:sz w:val="24"/>
                <w:szCs w:val="24"/>
                <w:highlight w:val="none"/>
                <w:lang w:eastAsia="zh-CN"/>
              </w:rPr>
              <w:t>。</w:t>
            </w:r>
          </w:p>
          <w:p>
            <w:pPr>
              <w:keepNext w:val="0"/>
              <w:keepLines w:val="0"/>
              <w:pageBreakBefore w:val="0"/>
              <w:widowControl w:val="0"/>
              <w:kinsoku/>
              <w:wordWrap/>
              <w:overflowPunct/>
              <w:autoSpaceDE/>
              <w:autoSpaceDN/>
              <w:bidi w:val="0"/>
              <w:adjustRightInd/>
              <w:snapToGrid/>
              <w:spacing w:line="360" w:lineRule="auto"/>
              <w:ind w:firstLine="482" w:firstLineChars="200"/>
              <w:rPr>
                <w:b/>
                <w:bCs/>
                <w:color w:val="auto"/>
                <w:sz w:val="24"/>
                <w:highlight w:val="none"/>
              </w:rPr>
            </w:pPr>
            <w:r>
              <w:rPr>
                <w:rFonts w:hint="default" w:ascii="Times New Roman" w:hAnsi="Times New Roman" w:cs="Times New Roman"/>
                <w:b/>
                <w:bCs/>
                <w:color w:val="auto"/>
                <w:sz w:val="24"/>
                <w:highlight w:val="none"/>
              </w:rPr>
              <w:t>2</w:t>
            </w:r>
            <w:r>
              <w:rPr>
                <w:rFonts w:hint="eastAsia"/>
                <w:b/>
                <w:bCs/>
                <w:color w:val="auto"/>
                <w:sz w:val="24"/>
                <w:highlight w:val="none"/>
              </w:rPr>
              <w:t>、声环境</w:t>
            </w:r>
          </w:p>
          <w:p>
            <w:pPr>
              <w:keepNext w:val="0"/>
              <w:keepLines w:val="0"/>
              <w:pageBreakBefore w:val="0"/>
              <w:widowControl w:val="0"/>
              <w:kinsoku/>
              <w:wordWrap/>
              <w:overflowPunct/>
              <w:autoSpaceDE/>
              <w:autoSpaceDN/>
              <w:bidi w:val="0"/>
              <w:adjustRightInd/>
              <w:snapToGrid/>
              <w:spacing w:line="360" w:lineRule="auto"/>
              <w:ind w:firstLine="480" w:firstLineChars="200"/>
              <w:rPr>
                <w:b/>
                <w:color w:val="auto"/>
                <w:sz w:val="24"/>
              </w:rPr>
            </w:pPr>
            <w:r>
              <w:rPr>
                <w:rFonts w:hint="eastAsia" w:ascii="Times New Roman" w:hAnsi="Times New Roman" w:eastAsia="宋体" w:cs="Times New Roman"/>
                <w:color w:val="auto"/>
                <w:sz w:val="24"/>
                <w:szCs w:val="24"/>
                <w:highlight w:val="none"/>
              </w:rPr>
              <w:t>根据现场勘查，</w:t>
            </w:r>
            <w:r>
              <w:rPr>
                <w:rFonts w:hint="eastAsia" w:ascii="Times New Roman" w:hAnsi="Times New Roman" w:eastAsia="宋体" w:cs="Times New Roman"/>
                <w:color w:val="auto"/>
                <w:sz w:val="24"/>
                <w:szCs w:val="24"/>
                <w:highlight w:val="none"/>
                <w:lang w:val="en-US" w:eastAsia="zh-CN"/>
              </w:rPr>
              <w:t>本项目</w:t>
            </w:r>
            <w:r>
              <w:rPr>
                <w:color w:val="auto"/>
                <w:sz w:val="24"/>
              </w:rPr>
              <w:t>厂界外</w:t>
            </w:r>
            <w:r>
              <w:rPr>
                <w:rFonts w:hint="default" w:ascii="Times New Roman" w:hAnsi="Times New Roman" w:cs="Times New Roman"/>
                <w:color w:val="auto"/>
                <w:sz w:val="24"/>
              </w:rPr>
              <w:t>50m</w:t>
            </w:r>
            <w:r>
              <w:rPr>
                <w:color w:val="auto"/>
                <w:sz w:val="24"/>
              </w:rPr>
              <w:t>范围内</w:t>
            </w:r>
            <w:r>
              <w:rPr>
                <w:rFonts w:hint="eastAsia"/>
                <w:color w:val="auto"/>
                <w:sz w:val="24"/>
                <w:lang w:val="en-US" w:eastAsia="zh-CN"/>
              </w:rPr>
              <w:t>无</w:t>
            </w:r>
            <w:r>
              <w:rPr>
                <w:color w:val="auto"/>
                <w:sz w:val="24"/>
              </w:rPr>
              <w:t>声环境保护目标。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highlight w:val="none"/>
              </w:rPr>
            </w:pPr>
            <w:r>
              <w:rPr>
                <w:rFonts w:hint="default" w:ascii="Times New Roman" w:hAnsi="Times New Roman" w:cs="Times New Roman"/>
                <w:b/>
                <w:bCs/>
                <w:color w:val="auto"/>
                <w:sz w:val="24"/>
                <w:highlight w:val="none"/>
              </w:rPr>
              <w:t>3</w:t>
            </w:r>
            <w:r>
              <w:rPr>
                <w:rFonts w:hint="eastAsia"/>
                <w:b/>
                <w:bCs/>
                <w:color w:val="auto"/>
                <w:sz w:val="24"/>
                <w:highlight w:val="none"/>
              </w:rPr>
              <w:t>、地下水环境</w:t>
            </w:r>
          </w:p>
          <w:p>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baseline"/>
              <w:rPr>
                <w:rFonts w:hint="default"/>
                <w:color w:val="auto"/>
                <w:sz w:val="24"/>
                <w:szCs w:val="24"/>
                <w:highlight w:val="none"/>
              </w:rPr>
            </w:pPr>
            <w:r>
              <w:rPr>
                <w:rFonts w:hint="eastAsia" w:ascii="Times New Roman" w:hAnsi="Times New Roman" w:eastAsia="宋体" w:cs="Times New Roman"/>
                <w:color w:val="auto"/>
                <w:sz w:val="24"/>
                <w:szCs w:val="24"/>
                <w:highlight w:val="none"/>
              </w:rPr>
              <w:t>根据现场勘查，</w:t>
            </w:r>
            <w:r>
              <w:rPr>
                <w:rFonts w:hint="default"/>
                <w:snapToGrid w:val="0"/>
                <w:color w:val="auto"/>
                <w:kern w:val="0"/>
                <w:sz w:val="24"/>
                <w:szCs w:val="24"/>
                <w:highlight w:val="none"/>
              </w:rPr>
              <w:t>本项目厂界外</w:t>
            </w:r>
            <w:r>
              <w:rPr>
                <w:rFonts w:hint="default" w:ascii="Times New Roman" w:hAnsi="Times New Roman" w:cs="Times New Roman"/>
                <w:snapToGrid w:val="0"/>
                <w:color w:val="auto"/>
                <w:kern w:val="0"/>
                <w:sz w:val="24"/>
                <w:szCs w:val="24"/>
                <w:highlight w:val="none"/>
              </w:rPr>
              <w:t>500m</w:t>
            </w:r>
            <w:r>
              <w:rPr>
                <w:rFonts w:hint="default"/>
                <w:snapToGrid w:val="0"/>
                <w:color w:val="auto"/>
                <w:kern w:val="0"/>
                <w:sz w:val="24"/>
                <w:szCs w:val="24"/>
                <w:highlight w:val="none"/>
              </w:rPr>
              <w:t>范围内无地下水集中式饮用水水源和热水、矿泉水、温泉等特殊地下水资源</w:t>
            </w:r>
            <w:r>
              <w:rPr>
                <w:rFonts w:hint="default"/>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highlight w:val="none"/>
              </w:rPr>
            </w:pPr>
            <w:r>
              <w:rPr>
                <w:rFonts w:hint="default" w:ascii="Times New Roman" w:hAnsi="Times New Roman" w:cs="Times New Roman"/>
                <w:b/>
                <w:bCs/>
                <w:color w:val="auto"/>
                <w:sz w:val="24"/>
                <w:highlight w:val="none"/>
              </w:rPr>
              <w:t>4</w:t>
            </w:r>
            <w:r>
              <w:rPr>
                <w:rFonts w:hint="eastAsia"/>
                <w:b/>
                <w:bCs/>
                <w:color w:val="auto"/>
                <w:sz w:val="24"/>
                <w:highlight w:val="none"/>
              </w:rPr>
              <w:t>、</w:t>
            </w:r>
            <w:r>
              <w:rPr>
                <w:b/>
                <w:bCs/>
                <w:color w:val="auto"/>
                <w:sz w:val="24"/>
                <w:highlight w:val="none"/>
              </w:rPr>
              <w:t>生态环境保护目标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color w:val="auto"/>
                <w:sz w:val="24"/>
                <w:highlight w:val="none"/>
              </w:rPr>
              <w:t>本项目占地范围内无特殊生态敏感区及重要生态敏感区等生态环境保护目标。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6" w:type="dxa"/>
            <w:tcMar>
              <w:left w:w="28" w:type="dxa"/>
              <w:right w:w="28" w:type="dxa"/>
            </w:tcMar>
            <w:vAlign w:val="center"/>
          </w:tcPr>
          <w:p>
            <w:pPr>
              <w:adjustRightInd w:val="0"/>
              <w:snapToGrid w:val="0"/>
              <w:jc w:val="center"/>
              <w:rPr>
                <w:b/>
                <w:bCs/>
                <w:color w:val="auto"/>
                <w:kern w:val="0"/>
                <w:sz w:val="24"/>
                <w:szCs w:val="24"/>
                <w:highlight w:val="none"/>
              </w:rPr>
            </w:pPr>
            <w:r>
              <w:rPr>
                <w:b/>
                <w:bCs/>
                <w:color w:val="auto"/>
                <w:kern w:val="0"/>
                <w:sz w:val="24"/>
                <w:szCs w:val="24"/>
                <w:highlight w:val="none"/>
              </w:rPr>
              <w:t>污染</w:t>
            </w:r>
          </w:p>
          <w:p>
            <w:pPr>
              <w:adjustRightInd w:val="0"/>
              <w:snapToGrid w:val="0"/>
              <w:jc w:val="center"/>
              <w:rPr>
                <w:b/>
                <w:bCs/>
                <w:color w:val="auto"/>
                <w:kern w:val="0"/>
                <w:sz w:val="24"/>
                <w:szCs w:val="24"/>
                <w:highlight w:val="none"/>
              </w:rPr>
            </w:pPr>
            <w:r>
              <w:rPr>
                <w:b/>
                <w:bCs/>
                <w:color w:val="auto"/>
                <w:kern w:val="0"/>
                <w:sz w:val="24"/>
                <w:szCs w:val="24"/>
                <w:highlight w:val="none"/>
              </w:rPr>
              <w:t>物排</w:t>
            </w:r>
          </w:p>
          <w:p>
            <w:pPr>
              <w:adjustRightInd w:val="0"/>
              <w:snapToGrid w:val="0"/>
              <w:jc w:val="center"/>
              <w:rPr>
                <w:b/>
                <w:bCs/>
                <w:color w:val="auto"/>
                <w:kern w:val="0"/>
                <w:sz w:val="24"/>
                <w:szCs w:val="24"/>
                <w:highlight w:val="none"/>
              </w:rPr>
            </w:pPr>
            <w:r>
              <w:rPr>
                <w:b/>
                <w:bCs/>
                <w:color w:val="auto"/>
                <w:kern w:val="0"/>
                <w:sz w:val="24"/>
                <w:szCs w:val="24"/>
                <w:highlight w:val="none"/>
              </w:rPr>
              <w:t>放控</w:t>
            </w:r>
          </w:p>
          <w:p>
            <w:pPr>
              <w:adjustRightInd w:val="0"/>
              <w:snapToGrid w:val="0"/>
              <w:jc w:val="center"/>
              <w:rPr>
                <w:b/>
                <w:bCs/>
                <w:color w:val="auto"/>
                <w:kern w:val="0"/>
                <w:sz w:val="24"/>
                <w:szCs w:val="24"/>
                <w:highlight w:val="none"/>
              </w:rPr>
            </w:pPr>
            <w:r>
              <w:rPr>
                <w:b/>
                <w:bCs/>
                <w:color w:val="auto"/>
                <w:kern w:val="0"/>
                <w:sz w:val="24"/>
                <w:szCs w:val="24"/>
                <w:highlight w:val="none"/>
              </w:rPr>
              <w:t>制标</w:t>
            </w:r>
          </w:p>
          <w:p>
            <w:pPr>
              <w:adjustRightInd w:val="0"/>
              <w:snapToGrid w:val="0"/>
              <w:jc w:val="center"/>
              <w:rPr>
                <w:color w:val="auto"/>
                <w:kern w:val="0"/>
                <w:szCs w:val="21"/>
                <w:highlight w:val="none"/>
              </w:rPr>
            </w:pPr>
            <w:r>
              <w:rPr>
                <w:b/>
                <w:bCs/>
                <w:color w:val="auto"/>
                <w:kern w:val="0"/>
                <w:sz w:val="24"/>
                <w:szCs w:val="24"/>
                <w:highlight w:val="none"/>
              </w:rPr>
              <w:t>准</w:t>
            </w:r>
          </w:p>
        </w:tc>
        <w:tc>
          <w:tcPr>
            <w:tcW w:w="8255" w:type="dxa"/>
            <w:vAlign w:val="center"/>
          </w:tcPr>
          <w:p>
            <w:pPr>
              <w:spacing w:line="360" w:lineRule="auto"/>
              <w:ind w:firstLine="482" w:firstLineChars="200"/>
              <w:rPr>
                <w:b/>
                <w:color w:val="auto"/>
                <w:sz w:val="24"/>
                <w:highlight w:val="none"/>
              </w:rPr>
            </w:pPr>
            <w:r>
              <w:rPr>
                <w:b/>
                <w:color w:val="auto"/>
                <w:sz w:val="24"/>
                <w:highlight w:val="none"/>
              </w:rPr>
              <w:t>一、废气</w:t>
            </w:r>
          </w:p>
          <w:p>
            <w:pPr>
              <w:pStyle w:val="130"/>
              <w:spacing w:line="360" w:lineRule="auto"/>
              <w:ind w:left="0" w:leftChars="0" w:firstLine="480" w:firstLineChars="200"/>
              <w:jc w:val="both"/>
              <w:outlineLvl w:val="9"/>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Times New Roman"/>
                <w:b w:val="0"/>
                <w:bCs/>
                <w:color w:val="auto"/>
                <w:sz w:val="24"/>
                <w:szCs w:val="24"/>
                <w:lang w:val="en-US" w:eastAsia="zh-CN"/>
              </w:rPr>
              <w:t>本项目</w:t>
            </w:r>
            <w:r>
              <w:rPr>
                <w:rFonts w:hint="default" w:ascii="Times New Roman" w:hAnsi="Times New Roman" w:eastAsia="宋体" w:cs="Times New Roman"/>
                <w:b w:val="0"/>
                <w:bCs/>
                <w:color w:val="auto"/>
                <w:sz w:val="24"/>
                <w:szCs w:val="24"/>
              </w:rPr>
              <w:t>水泥</w:t>
            </w:r>
            <w:r>
              <w:rPr>
                <w:rFonts w:hint="default" w:ascii="Times New Roman" w:hAnsi="Times New Roman" w:eastAsia="宋体" w:cs="Times New Roman"/>
                <w:b w:val="0"/>
                <w:bCs/>
                <w:color w:val="auto"/>
                <w:sz w:val="24"/>
                <w:szCs w:val="24"/>
                <w:lang w:val="en-US" w:eastAsia="zh-CN"/>
              </w:rPr>
              <w:t>筒</w:t>
            </w:r>
            <w:r>
              <w:rPr>
                <w:rFonts w:hint="default" w:ascii="Times New Roman" w:hAnsi="Times New Roman" w:eastAsia="宋体" w:cs="Times New Roman"/>
                <w:b w:val="0"/>
                <w:bCs/>
                <w:color w:val="auto"/>
                <w:sz w:val="24"/>
                <w:szCs w:val="24"/>
              </w:rPr>
              <w:t>仓粉尘</w:t>
            </w:r>
            <w:r>
              <w:rPr>
                <w:rFonts w:hint="eastAsia"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原料</w:t>
            </w:r>
            <w:r>
              <w:rPr>
                <w:rFonts w:hint="eastAsia" w:ascii="Times New Roman" w:hAnsi="Times New Roman" w:eastAsia="宋体" w:cs="Times New Roman"/>
                <w:b w:val="0"/>
                <w:bCs/>
                <w:color w:val="auto"/>
                <w:sz w:val="24"/>
                <w:szCs w:val="24"/>
                <w:lang w:eastAsia="zh-CN"/>
              </w:rPr>
              <w:t>堆存</w:t>
            </w:r>
            <w:r>
              <w:rPr>
                <w:rFonts w:hint="eastAsia" w:ascii="Times New Roman" w:hAnsi="Times New Roman" w:eastAsia="宋体" w:cs="Times New Roman"/>
                <w:b w:val="0"/>
                <w:bCs/>
                <w:color w:val="auto"/>
                <w:sz w:val="24"/>
                <w:szCs w:val="24"/>
                <w:lang w:val="en-US" w:eastAsia="zh-CN"/>
              </w:rPr>
              <w:t>及装卸</w:t>
            </w:r>
            <w:r>
              <w:rPr>
                <w:rFonts w:hint="eastAsia" w:ascii="Times New Roman" w:hAnsi="Times New Roman" w:eastAsia="宋体" w:cs="Times New Roman"/>
                <w:b w:val="0"/>
                <w:bCs/>
                <w:color w:val="auto"/>
                <w:sz w:val="24"/>
                <w:szCs w:val="24"/>
                <w:lang w:eastAsia="zh-CN"/>
              </w:rPr>
              <w:t>扬尘</w:t>
            </w:r>
            <w:r>
              <w:rPr>
                <w:rFonts w:hint="default" w:ascii="Times New Roman" w:hAnsi="Times New Roman" w:eastAsia="宋体" w:cs="Times New Roman"/>
                <w:b w:val="0"/>
                <w:bCs/>
                <w:color w:val="auto"/>
                <w:sz w:val="24"/>
                <w:szCs w:val="24"/>
              </w:rPr>
              <w:t>、投料粉尘、车辆运输扬尘等无组织颗粒物</w:t>
            </w:r>
            <w:r>
              <w:rPr>
                <w:rFonts w:hint="eastAsia" w:ascii="Times New Roman" w:hAnsi="Times New Roman" w:eastAsia="宋体" w:cs="Times New Roman"/>
                <w:b w:val="0"/>
                <w:bCs/>
                <w:color w:val="auto"/>
                <w:sz w:val="24"/>
                <w:szCs w:val="24"/>
                <w:lang w:val="en-US" w:eastAsia="zh-CN"/>
              </w:rPr>
              <w:t>执行《水泥工业大气污染物排放标准》（</w:t>
            </w:r>
            <w:r>
              <w:rPr>
                <w:rFonts w:hint="default" w:ascii="Times New Roman" w:hAnsi="Times New Roman" w:eastAsia="宋体" w:cs="Times New Roman"/>
                <w:b w:val="0"/>
                <w:bCs/>
                <w:color w:val="auto"/>
                <w:sz w:val="24"/>
                <w:szCs w:val="24"/>
                <w:lang w:val="en-US" w:eastAsia="zh-CN"/>
              </w:rPr>
              <w:t>GB4915</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2013</w:t>
            </w:r>
            <w:r>
              <w:rPr>
                <w:rFonts w:hint="eastAsia" w:ascii="Times New Roman" w:hAnsi="Times New Roman" w:eastAsia="宋体" w:cs="Times New Roman"/>
                <w:b w:val="0"/>
                <w:bCs/>
                <w:color w:val="auto"/>
                <w:sz w:val="24"/>
                <w:szCs w:val="24"/>
                <w:lang w:val="en-US" w:eastAsia="zh-CN"/>
              </w:rPr>
              <w:t>）表</w:t>
            </w:r>
            <w:r>
              <w:rPr>
                <w:rFonts w:hint="default" w:ascii="Times New Roman" w:hAnsi="Times New Roman" w:eastAsia="宋体" w:cs="Times New Roman"/>
                <w:b w:val="0"/>
                <w:bCs/>
                <w:color w:val="auto"/>
                <w:sz w:val="24"/>
                <w:szCs w:val="24"/>
                <w:lang w:val="en-US" w:eastAsia="zh-CN"/>
              </w:rPr>
              <w:t>3</w:t>
            </w:r>
            <w:r>
              <w:rPr>
                <w:rFonts w:hint="eastAsia"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4</w:t>
            </w:r>
            <w:r>
              <w:rPr>
                <w:rFonts w:hint="eastAsia" w:ascii="Times New Roman" w:hAnsi="Times New Roman" w:eastAsia="宋体" w:cs="Times New Roman"/>
                <w:b w:val="0"/>
                <w:bCs/>
                <w:color w:val="auto"/>
                <w:sz w:val="24"/>
                <w:szCs w:val="24"/>
                <w:lang w:val="en-US" w:eastAsia="zh-CN"/>
              </w:rPr>
              <w:t>中</w:t>
            </w:r>
            <w:r>
              <w:rPr>
                <w:rFonts w:hint="default" w:ascii="Times New Roman" w:hAnsi="Times New Roman" w:eastAsia="宋体" w:cs="Times New Roman"/>
                <w:b w:val="0"/>
                <w:bCs/>
                <w:color w:val="auto"/>
                <w:sz w:val="24"/>
                <w:szCs w:val="24"/>
              </w:rPr>
              <w:t>规定的大气污染物</w:t>
            </w:r>
            <w:r>
              <w:rPr>
                <w:rFonts w:hint="eastAsia" w:ascii="Times New Roman" w:hAnsi="Times New Roman" w:eastAsia="宋体" w:cs="Times New Roman"/>
                <w:b w:val="0"/>
                <w:bCs/>
                <w:color w:val="auto"/>
                <w:sz w:val="24"/>
                <w:szCs w:val="24"/>
                <w:lang w:val="en-US" w:eastAsia="zh-CN"/>
              </w:rPr>
              <w:t>无组织</w:t>
            </w:r>
            <w:r>
              <w:rPr>
                <w:rFonts w:hint="default" w:ascii="Times New Roman" w:hAnsi="Times New Roman" w:eastAsia="宋体" w:cs="Times New Roman"/>
                <w:b w:val="0"/>
                <w:bCs/>
                <w:color w:val="auto"/>
                <w:sz w:val="24"/>
                <w:szCs w:val="24"/>
              </w:rPr>
              <w:t>排放限值</w:t>
            </w:r>
            <w:r>
              <w:rPr>
                <w:rFonts w:hint="eastAsia" w:cs="Times New Roman"/>
                <w:b w:val="0"/>
                <w:bCs/>
                <w:color w:val="auto"/>
                <w:sz w:val="24"/>
                <w:szCs w:val="24"/>
                <w:lang w:eastAsia="zh-CN"/>
              </w:rPr>
              <w:t>。</w:t>
            </w:r>
          </w:p>
          <w:p>
            <w:pPr>
              <w:pStyle w:val="8"/>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GB" w:eastAsia="zh-CN" w:bidi="ar-SA"/>
              </w:rPr>
              <w:t>表3</w:t>
            </w:r>
            <w:r>
              <w:rPr>
                <w:rFonts w:hint="eastAsia" w:ascii="Times New Roman" w:hAnsi="Times New Roman" w:eastAsia="宋体" w:cs="Times New Roman"/>
                <w:b/>
                <w:color w:val="auto"/>
                <w:kern w:val="2"/>
                <w:sz w:val="24"/>
                <w:szCs w:val="24"/>
                <w:highlight w:val="none"/>
                <w:lang w:val="en-US" w:eastAsia="zh-CN" w:bidi="ar-SA"/>
              </w:rPr>
              <w:t>-</w:t>
            </w:r>
            <w:r>
              <w:rPr>
                <w:rFonts w:hint="default" w:ascii="Times New Roman" w:hAnsi="Times New Roman" w:cs="Times New Roman"/>
                <w:b/>
                <w:color w:val="auto"/>
                <w:kern w:val="2"/>
                <w:sz w:val="24"/>
                <w:szCs w:val="24"/>
                <w:highlight w:val="none"/>
                <w:lang w:val="en-US" w:eastAsia="zh-CN" w:bidi="ar-SA"/>
              </w:rPr>
              <w:t>4</w:t>
            </w:r>
            <w:r>
              <w:rPr>
                <w:rFonts w:hint="eastAsia" w:ascii="Times New Roman" w:hAnsi="Times New Roman" w:eastAsia="宋体" w:cs="Times New Roman"/>
                <w:b/>
                <w:color w:val="auto"/>
                <w:kern w:val="2"/>
                <w:sz w:val="24"/>
                <w:szCs w:val="24"/>
                <w:highlight w:val="none"/>
                <w:lang w:val="en-US" w:eastAsia="zh-CN" w:bidi="ar-SA"/>
              </w:rPr>
              <w:t xml:space="preserve"> 水泥工业大气污染物排放标准（</w:t>
            </w:r>
            <w:r>
              <w:rPr>
                <w:rFonts w:hint="default" w:ascii="Times New Roman" w:hAnsi="Times New Roman" w:eastAsia="宋体" w:cs="Times New Roman"/>
                <w:b/>
                <w:color w:val="auto"/>
                <w:kern w:val="2"/>
                <w:sz w:val="24"/>
                <w:szCs w:val="24"/>
                <w:highlight w:val="none"/>
                <w:lang w:val="en-US" w:eastAsia="zh-CN" w:bidi="ar-SA"/>
              </w:rPr>
              <w:t>GB4915</w:t>
            </w:r>
            <w:r>
              <w:rPr>
                <w:rFonts w:hint="eastAsia" w:ascii="Times New Roman" w:hAnsi="Times New Roman" w:eastAsia="宋体" w:cs="Times New Roman"/>
                <w:b/>
                <w:color w:val="auto"/>
                <w:kern w:val="2"/>
                <w:sz w:val="24"/>
                <w:szCs w:val="24"/>
                <w:highlight w:val="none"/>
                <w:lang w:val="en-US" w:eastAsia="zh-CN" w:bidi="ar-SA"/>
              </w:rPr>
              <w:t>—</w:t>
            </w:r>
            <w:r>
              <w:rPr>
                <w:rFonts w:hint="default" w:ascii="Times New Roman" w:hAnsi="Times New Roman" w:eastAsia="宋体" w:cs="Times New Roman"/>
                <w:b/>
                <w:color w:val="auto"/>
                <w:kern w:val="2"/>
                <w:sz w:val="24"/>
                <w:szCs w:val="24"/>
                <w:highlight w:val="none"/>
                <w:lang w:val="en-US" w:eastAsia="zh-CN" w:bidi="ar-SA"/>
              </w:rPr>
              <w:t>2013</w:t>
            </w:r>
            <w:r>
              <w:rPr>
                <w:rFonts w:hint="eastAsia" w:ascii="Times New Roman" w:hAnsi="Times New Roman" w:eastAsia="宋体" w:cs="Times New Roman"/>
                <w:b/>
                <w:color w:val="auto"/>
                <w:kern w:val="2"/>
                <w:sz w:val="24"/>
                <w:szCs w:val="24"/>
                <w:highlight w:val="none"/>
                <w:lang w:val="en-US" w:eastAsia="zh-CN" w:bidi="ar-SA"/>
              </w:rPr>
              <w:t>） 单位：</w:t>
            </w:r>
            <w:r>
              <w:rPr>
                <w:rFonts w:hint="default" w:ascii="Times New Roman" w:hAnsi="Times New Roman" w:eastAsia="宋体" w:cs="Times New Roman"/>
                <w:b/>
                <w:color w:val="auto"/>
                <w:kern w:val="2"/>
                <w:sz w:val="24"/>
                <w:szCs w:val="24"/>
                <w:highlight w:val="none"/>
                <w:lang w:val="en-US" w:eastAsia="zh-CN" w:bidi="ar-SA"/>
              </w:rPr>
              <w:t>mg</w:t>
            </w:r>
            <w:r>
              <w:rPr>
                <w:rFonts w:hint="eastAsia" w:ascii="Times New Roman" w:hAnsi="Times New Roman" w:eastAsia="宋体" w:cs="Times New Roman"/>
                <w:b/>
                <w:color w:val="auto"/>
                <w:kern w:val="2"/>
                <w:sz w:val="24"/>
                <w:szCs w:val="24"/>
                <w:highlight w:val="none"/>
                <w:lang w:val="en-US" w:eastAsia="zh-CN" w:bidi="ar-SA"/>
              </w:rPr>
              <w:t>/</w:t>
            </w:r>
            <w:r>
              <w:rPr>
                <w:rFonts w:hint="default" w:ascii="Times New Roman" w:hAnsi="Times New Roman" w:eastAsia="宋体" w:cs="Times New Roman"/>
                <w:b/>
                <w:color w:val="auto"/>
                <w:kern w:val="2"/>
                <w:sz w:val="24"/>
                <w:szCs w:val="24"/>
                <w:highlight w:val="none"/>
                <w:lang w:val="en-US" w:eastAsia="zh-CN" w:bidi="ar-SA"/>
              </w:rPr>
              <w:t>m</w:t>
            </w:r>
            <w:r>
              <w:rPr>
                <w:rFonts w:hint="eastAsia" w:ascii="Times New Roman" w:hAnsi="Times New Roman" w:eastAsia="宋体" w:cs="Times New Roman"/>
                <w:b/>
                <w:color w:val="auto"/>
                <w:kern w:val="2"/>
                <w:sz w:val="24"/>
                <w:szCs w:val="24"/>
                <w:highlight w:val="none"/>
                <w:lang w:val="en-US" w:eastAsia="zh-CN" w:bidi="ar-SA"/>
              </w:rPr>
              <w:t>³</w:t>
            </w:r>
          </w:p>
          <w:tbl>
            <w:tblPr>
              <w:tblStyle w:val="33"/>
              <w:tblW w:w="803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1732"/>
              <w:gridCol w:w="2290"/>
              <w:gridCol w:w="20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06" w:type="dxa"/>
                  <w:tcBorders>
                    <w:tl2br w:val="nil"/>
                    <w:tr2bl w:val="nil"/>
                  </w:tcBorders>
                  <w:noWrap w:val="0"/>
                  <w:vAlign w:val="center"/>
                </w:tcPr>
                <w:p>
                  <w:pPr>
                    <w:pStyle w:val="130"/>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vertAlign w:val="baseline"/>
                      <w:lang w:val="en-US" w:eastAsia="zh-CN"/>
                    </w:rPr>
                  </w:pPr>
                  <w:r>
                    <w:rPr>
                      <w:rFonts w:hint="default" w:ascii="Times New Roman" w:hAnsi="Times New Roman" w:eastAsia="宋体" w:cs="Times New Roman"/>
                      <w:b w:val="0"/>
                      <w:bCs/>
                      <w:i w:val="0"/>
                      <w:iCs w:val="0"/>
                      <w:caps w:val="0"/>
                      <w:color w:val="auto"/>
                      <w:spacing w:val="0"/>
                      <w:sz w:val="21"/>
                      <w:szCs w:val="21"/>
                      <w:vertAlign w:val="baseline"/>
                      <w:lang w:val="en-US" w:eastAsia="zh-CN"/>
                    </w:rPr>
                    <w:t>污染物</w:t>
                  </w:r>
                </w:p>
              </w:tc>
              <w:tc>
                <w:tcPr>
                  <w:tcW w:w="1732" w:type="dxa"/>
                  <w:tcBorders>
                    <w:tl2br w:val="nil"/>
                    <w:tr2bl w:val="nil"/>
                  </w:tcBorders>
                  <w:noWrap w:val="0"/>
                  <w:vAlign w:val="center"/>
                </w:tcPr>
                <w:p>
                  <w:pPr>
                    <w:pStyle w:val="130"/>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vertAlign w:val="baseline"/>
                      <w:lang w:val="en-US" w:eastAsia="zh-CN"/>
                    </w:rPr>
                  </w:pPr>
                  <w:r>
                    <w:rPr>
                      <w:rFonts w:hint="eastAsia" w:ascii="Times New Roman" w:hAnsi="Times New Roman" w:eastAsia="宋体" w:cs="Times New Roman"/>
                      <w:b w:val="0"/>
                      <w:bCs/>
                      <w:i w:val="0"/>
                      <w:iCs w:val="0"/>
                      <w:caps w:val="0"/>
                      <w:color w:val="auto"/>
                      <w:spacing w:val="0"/>
                      <w:sz w:val="21"/>
                      <w:szCs w:val="21"/>
                      <w:vertAlign w:val="baseline"/>
                      <w:lang w:val="en-US" w:eastAsia="zh-CN"/>
                    </w:rPr>
                    <w:t>排放限值</w:t>
                  </w:r>
                </w:p>
              </w:tc>
              <w:tc>
                <w:tcPr>
                  <w:tcW w:w="2290" w:type="dxa"/>
                  <w:tcBorders>
                    <w:tl2br w:val="nil"/>
                    <w:tr2bl w:val="nil"/>
                  </w:tcBorders>
                  <w:noWrap w:val="0"/>
                  <w:vAlign w:val="center"/>
                </w:tcPr>
                <w:p>
                  <w:pPr>
                    <w:pStyle w:val="130"/>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vertAlign w:val="baseline"/>
                      <w:lang w:val="en-US" w:eastAsia="zh-CN"/>
                    </w:rPr>
                  </w:pPr>
                  <w:r>
                    <w:rPr>
                      <w:rFonts w:hint="eastAsia" w:ascii="Times New Roman" w:hAnsi="Times New Roman" w:eastAsia="宋体" w:cs="Times New Roman"/>
                      <w:b w:val="0"/>
                      <w:bCs/>
                      <w:i w:val="0"/>
                      <w:iCs w:val="0"/>
                      <w:caps w:val="0"/>
                      <w:color w:val="auto"/>
                      <w:spacing w:val="0"/>
                      <w:sz w:val="21"/>
                      <w:szCs w:val="21"/>
                      <w:vertAlign w:val="baseline"/>
                      <w:lang w:val="en-US" w:eastAsia="zh-CN"/>
                    </w:rPr>
                    <w:t>限值含义</w:t>
                  </w:r>
                </w:p>
              </w:tc>
              <w:tc>
                <w:tcPr>
                  <w:tcW w:w="2011" w:type="dxa"/>
                  <w:tcBorders>
                    <w:tl2br w:val="nil"/>
                    <w:tr2bl w:val="nil"/>
                  </w:tcBorders>
                  <w:noWrap w:val="0"/>
                  <w:vAlign w:val="center"/>
                </w:tcPr>
                <w:p>
                  <w:pPr>
                    <w:pStyle w:val="130"/>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vertAlign w:val="baseline"/>
                      <w:lang w:val="en-US" w:eastAsia="zh-CN"/>
                    </w:rPr>
                  </w:pPr>
                  <w:r>
                    <w:rPr>
                      <w:rFonts w:hint="default" w:ascii="Times New Roman" w:hAnsi="Times New Roman" w:eastAsia="宋体" w:cs="Times New Roman"/>
                      <w:b w:val="0"/>
                      <w:bCs/>
                      <w:i w:val="0"/>
                      <w:iCs w:val="0"/>
                      <w:caps w:val="0"/>
                      <w:color w:val="auto"/>
                      <w:spacing w:val="0"/>
                      <w:sz w:val="21"/>
                      <w:szCs w:val="21"/>
                      <w:vertAlign w:val="baseline"/>
                      <w:lang w:val="en-US" w:eastAsia="zh-CN"/>
                    </w:rPr>
                    <w:t>监控</w:t>
                  </w:r>
                  <w:r>
                    <w:rPr>
                      <w:rFonts w:hint="eastAsia" w:ascii="Times New Roman" w:hAnsi="Times New Roman" w:eastAsia="宋体" w:cs="Times New Roman"/>
                      <w:b w:val="0"/>
                      <w:bCs/>
                      <w:i w:val="0"/>
                      <w:iCs w:val="0"/>
                      <w:caps w:val="0"/>
                      <w:color w:val="auto"/>
                      <w:spacing w:val="0"/>
                      <w:sz w:val="21"/>
                      <w:szCs w:val="21"/>
                      <w:vertAlign w:val="baseline"/>
                      <w:lang w:val="en-US" w:eastAsia="zh-CN"/>
                    </w:rPr>
                    <w:t>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06" w:type="dxa"/>
                  <w:tcBorders>
                    <w:tl2br w:val="nil"/>
                    <w:tr2bl w:val="nil"/>
                  </w:tcBorders>
                  <w:noWrap w:val="0"/>
                  <w:vAlign w:val="center"/>
                </w:tcPr>
                <w:p>
                  <w:pPr>
                    <w:pStyle w:val="130"/>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b w:val="0"/>
                      <w:bCs/>
                      <w:i w:val="0"/>
                      <w:iCs w:val="0"/>
                      <w:caps w:val="0"/>
                      <w:color w:val="auto"/>
                      <w:spacing w:val="0"/>
                      <w:sz w:val="21"/>
                      <w:szCs w:val="21"/>
                      <w:vertAlign w:val="baseline"/>
                      <w:lang w:val="en-US" w:eastAsia="zh-CN"/>
                    </w:rPr>
                  </w:pPr>
                  <w:r>
                    <w:rPr>
                      <w:rFonts w:hint="eastAsia" w:ascii="Times New Roman" w:hAnsi="Times New Roman" w:eastAsia="宋体" w:cs="Times New Roman"/>
                      <w:b w:val="0"/>
                      <w:bCs/>
                      <w:i w:val="0"/>
                      <w:iCs w:val="0"/>
                      <w:caps w:val="0"/>
                      <w:color w:val="auto"/>
                      <w:spacing w:val="0"/>
                      <w:sz w:val="21"/>
                      <w:szCs w:val="21"/>
                      <w:vertAlign w:val="baseline"/>
                      <w:lang w:val="en-US" w:eastAsia="zh-CN"/>
                    </w:rPr>
                    <w:t>颗粒物</w:t>
                  </w:r>
                </w:p>
              </w:tc>
              <w:tc>
                <w:tcPr>
                  <w:tcW w:w="1732" w:type="dxa"/>
                  <w:tcBorders>
                    <w:tl2br w:val="nil"/>
                    <w:tr2bl w:val="nil"/>
                  </w:tcBorders>
                  <w:noWrap w:val="0"/>
                  <w:vAlign w:val="center"/>
                </w:tcPr>
                <w:p>
                  <w:pPr>
                    <w:pStyle w:val="130"/>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vertAlign w:val="baseline"/>
                      <w:lang w:val="en-US" w:eastAsia="zh-CN"/>
                    </w:rPr>
                  </w:pPr>
                  <w:r>
                    <w:rPr>
                      <w:rFonts w:hint="default" w:ascii="Times New Roman" w:hAnsi="Times New Roman" w:eastAsia="宋体" w:cs="Times New Roman"/>
                      <w:b w:val="0"/>
                      <w:bCs/>
                      <w:i w:val="0"/>
                      <w:iCs w:val="0"/>
                      <w:caps w:val="0"/>
                      <w:color w:val="auto"/>
                      <w:spacing w:val="0"/>
                      <w:sz w:val="21"/>
                      <w:szCs w:val="21"/>
                      <w:vertAlign w:val="baseline"/>
                      <w:lang w:val="en-US" w:eastAsia="zh-CN"/>
                    </w:rPr>
                    <w:t>0</w:t>
                  </w:r>
                  <w:r>
                    <w:rPr>
                      <w:rFonts w:hint="eastAsia" w:ascii="Times New Roman" w:hAnsi="Times New Roman" w:eastAsia="宋体" w:cs="Times New Roman"/>
                      <w:b w:val="0"/>
                      <w:bCs/>
                      <w:i w:val="0"/>
                      <w:iCs w:val="0"/>
                      <w:caps w:val="0"/>
                      <w:color w:val="auto"/>
                      <w:spacing w:val="0"/>
                      <w:sz w:val="21"/>
                      <w:szCs w:val="21"/>
                      <w:vertAlign w:val="baseline"/>
                      <w:lang w:val="en-US" w:eastAsia="zh-CN"/>
                    </w:rPr>
                    <w:t>.</w:t>
                  </w:r>
                  <w:r>
                    <w:rPr>
                      <w:rFonts w:hint="default" w:ascii="Times New Roman" w:hAnsi="Times New Roman" w:eastAsia="宋体" w:cs="Times New Roman"/>
                      <w:b w:val="0"/>
                      <w:bCs/>
                      <w:i w:val="0"/>
                      <w:iCs w:val="0"/>
                      <w:caps w:val="0"/>
                      <w:color w:val="auto"/>
                      <w:spacing w:val="0"/>
                      <w:sz w:val="21"/>
                      <w:szCs w:val="21"/>
                      <w:vertAlign w:val="baseline"/>
                      <w:lang w:val="en-US" w:eastAsia="zh-CN"/>
                    </w:rPr>
                    <w:t>5</w:t>
                  </w:r>
                </w:p>
              </w:tc>
              <w:tc>
                <w:tcPr>
                  <w:tcW w:w="2290" w:type="dxa"/>
                  <w:tcBorders>
                    <w:tl2br w:val="nil"/>
                    <w:tr2bl w:val="nil"/>
                  </w:tcBorders>
                  <w:noWrap w:val="0"/>
                  <w:vAlign w:val="center"/>
                </w:tcPr>
                <w:p>
                  <w:pPr>
                    <w:pStyle w:val="130"/>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vertAlign w:val="baseline"/>
                      <w:lang w:val="en-US" w:eastAsia="zh-CN"/>
                    </w:rPr>
                  </w:pPr>
                  <w:r>
                    <w:rPr>
                      <w:rFonts w:hint="eastAsia" w:ascii="Times New Roman" w:hAnsi="Times New Roman" w:eastAsia="宋体" w:cs="Times New Roman"/>
                      <w:b w:val="0"/>
                      <w:bCs/>
                      <w:i w:val="0"/>
                      <w:iCs w:val="0"/>
                      <w:caps w:val="0"/>
                      <w:color w:val="auto"/>
                      <w:spacing w:val="0"/>
                      <w:sz w:val="21"/>
                      <w:szCs w:val="21"/>
                      <w:vertAlign w:val="baseline"/>
                      <w:lang w:val="en-US" w:eastAsia="zh-CN"/>
                    </w:rPr>
                    <w:t>监控点与参照点总悬浮颗粒物（</w:t>
                  </w:r>
                  <w:r>
                    <w:rPr>
                      <w:rFonts w:hint="default" w:ascii="Times New Roman" w:hAnsi="Times New Roman" w:eastAsia="宋体" w:cs="Times New Roman"/>
                      <w:b w:val="0"/>
                      <w:bCs/>
                      <w:i w:val="0"/>
                      <w:iCs w:val="0"/>
                      <w:caps w:val="0"/>
                      <w:color w:val="auto"/>
                      <w:spacing w:val="0"/>
                      <w:sz w:val="21"/>
                      <w:szCs w:val="21"/>
                      <w:vertAlign w:val="baseline"/>
                      <w:lang w:val="en-US" w:eastAsia="zh-CN"/>
                    </w:rPr>
                    <w:t>TSP</w:t>
                  </w:r>
                  <w:r>
                    <w:rPr>
                      <w:rFonts w:hint="eastAsia" w:ascii="Times New Roman" w:hAnsi="Times New Roman" w:eastAsia="宋体" w:cs="Times New Roman"/>
                      <w:b w:val="0"/>
                      <w:bCs/>
                      <w:i w:val="0"/>
                      <w:iCs w:val="0"/>
                      <w:caps w:val="0"/>
                      <w:color w:val="auto"/>
                      <w:spacing w:val="0"/>
                      <w:sz w:val="21"/>
                      <w:szCs w:val="21"/>
                      <w:vertAlign w:val="baseline"/>
                      <w:lang w:val="en-US" w:eastAsia="zh-CN"/>
                    </w:rPr>
                    <w:t>）</w:t>
                  </w:r>
                  <w:r>
                    <w:rPr>
                      <w:rFonts w:hint="default" w:ascii="Times New Roman" w:hAnsi="Times New Roman" w:eastAsia="宋体" w:cs="Times New Roman"/>
                      <w:b w:val="0"/>
                      <w:bCs/>
                      <w:i w:val="0"/>
                      <w:iCs w:val="0"/>
                      <w:caps w:val="0"/>
                      <w:color w:val="auto"/>
                      <w:spacing w:val="0"/>
                      <w:sz w:val="21"/>
                      <w:szCs w:val="21"/>
                      <w:vertAlign w:val="baseline"/>
                      <w:lang w:val="en-US" w:eastAsia="zh-CN"/>
                    </w:rPr>
                    <w:t>1</w:t>
                  </w:r>
                  <w:r>
                    <w:rPr>
                      <w:rFonts w:hint="eastAsia" w:ascii="Times New Roman" w:hAnsi="Times New Roman" w:eastAsia="宋体" w:cs="Times New Roman"/>
                      <w:b w:val="0"/>
                      <w:bCs/>
                      <w:i w:val="0"/>
                      <w:iCs w:val="0"/>
                      <w:caps w:val="0"/>
                      <w:color w:val="auto"/>
                      <w:spacing w:val="0"/>
                      <w:sz w:val="21"/>
                      <w:szCs w:val="21"/>
                      <w:vertAlign w:val="baseline"/>
                      <w:lang w:val="en-US" w:eastAsia="zh-CN"/>
                    </w:rPr>
                    <w:t>小时浓度值的差值</w:t>
                  </w:r>
                </w:p>
              </w:tc>
              <w:tc>
                <w:tcPr>
                  <w:tcW w:w="2011" w:type="dxa"/>
                  <w:tcBorders>
                    <w:tl2br w:val="nil"/>
                    <w:tr2bl w:val="nil"/>
                  </w:tcBorders>
                  <w:noWrap w:val="0"/>
                  <w:vAlign w:val="center"/>
                </w:tcPr>
                <w:p>
                  <w:pPr>
                    <w:pStyle w:val="130"/>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i w:val="0"/>
                      <w:iCs w:val="0"/>
                      <w:caps w:val="0"/>
                      <w:color w:val="auto"/>
                      <w:spacing w:val="0"/>
                      <w:sz w:val="21"/>
                      <w:szCs w:val="21"/>
                      <w:vertAlign w:val="baseline"/>
                      <w:lang w:val="en-US" w:eastAsia="zh-CN"/>
                    </w:rPr>
                  </w:pPr>
                  <w:r>
                    <w:rPr>
                      <w:rFonts w:hint="default" w:ascii="Times New Roman" w:hAnsi="Times New Roman" w:eastAsia="宋体" w:cs="Times New Roman"/>
                      <w:b w:val="0"/>
                      <w:bCs/>
                      <w:i w:val="0"/>
                      <w:iCs w:val="0"/>
                      <w:caps w:val="0"/>
                      <w:color w:val="auto"/>
                      <w:spacing w:val="0"/>
                      <w:sz w:val="21"/>
                      <w:szCs w:val="21"/>
                      <w:vertAlign w:val="baseline"/>
                      <w:lang w:val="en-US" w:eastAsia="zh-CN"/>
                    </w:rPr>
                    <w:t>厂界外20m处上风向设参照点，下风向设监控点</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二、废水</w:t>
            </w:r>
          </w:p>
          <w:p>
            <w:pPr>
              <w:pStyle w:val="7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highlight w:val="none"/>
                <w:lang w:val="en-US" w:eastAsia="zh-CN"/>
              </w:rPr>
            </w:pPr>
            <w:r>
              <w:rPr>
                <w:rFonts w:hint="default"/>
                <w:bCs/>
                <w:color w:val="auto"/>
                <w:sz w:val="24"/>
                <w:szCs w:val="24"/>
                <w:highlight w:val="none"/>
              </w:rPr>
              <w:t>本项目</w:t>
            </w:r>
            <w:r>
              <w:rPr>
                <w:rFonts w:hint="default"/>
                <w:color w:val="auto"/>
                <w:sz w:val="24"/>
                <w:szCs w:val="24"/>
                <w:highlight w:val="none"/>
              </w:rPr>
              <w:t>生活污水排入防渗旱厕，定期清掏，外运堆肥</w:t>
            </w:r>
            <w:r>
              <w:rPr>
                <w:color w:val="auto"/>
                <w:sz w:val="24"/>
                <w:szCs w:val="24"/>
                <w:highlight w:val="none"/>
              </w:rPr>
              <w:t>，不外排；</w:t>
            </w:r>
            <w:r>
              <w:rPr>
                <w:rFonts w:hint="eastAsia" w:ascii="Times New Roman" w:hAnsi="宋体" w:eastAsia="宋体" w:cs="Times New Roman"/>
                <w:color w:val="auto"/>
                <w:sz w:val="24"/>
                <w:highlight w:val="none"/>
                <w:lang w:val="en-US" w:eastAsia="zh-CN"/>
              </w:rPr>
              <w:t>车辆料斗冲洗废水、搅拌机冲洗废水</w:t>
            </w:r>
            <w:r>
              <w:rPr>
                <w:rFonts w:hint="eastAsia" w:hAnsi="宋体" w:cs="Times New Roman"/>
                <w:color w:val="auto"/>
                <w:sz w:val="24"/>
                <w:highlight w:val="none"/>
                <w:lang w:val="en-US" w:eastAsia="zh-CN"/>
              </w:rPr>
              <w:t>及作业带清洗废水</w:t>
            </w:r>
            <w:r>
              <w:rPr>
                <w:rFonts w:hint="eastAsia" w:ascii="Times New Roman" w:hAnsi="宋体" w:eastAsia="宋体" w:cs="Times New Roman"/>
                <w:color w:val="auto"/>
                <w:sz w:val="24"/>
                <w:highlight w:val="none"/>
                <w:lang w:val="en-US" w:eastAsia="zh-CN"/>
              </w:rPr>
              <w:t>一起进入沉淀池沉淀后回用于生产，不外排</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b/>
                <w:color w:val="auto"/>
                <w:sz w:val="24"/>
                <w:highlight w:val="none"/>
              </w:rPr>
            </w:pPr>
            <w:r>
              <w:rPr>
                <w:rFonts w:hint="eastAsia"/>
                <w:b/>
                <w:color w:val="auto"/>
                <w:sz w:val="24"/>
                <w:highlight w:val="none"/>
                <w:lang w:val="en-US" w:eastAsia="zh-CN"/>
              </w:rPr>
              <w:t>三</w:t>
            </w:r>
            <w:r>
              <w:rPr>
                <w:b/>
                <w:color w:val="auto"/>
                <w:sz w:val="24"/>
                <w:highlight w:val="none"/>
              </w:rPr>
              <w:t>、噪声</w:t>
            </w:r>
          </w:p>
          <w:p>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kern w:val="0"/>
                <w:sz w:val="24"/>
                <w:highlight w:val="none"/>
              </w:rPr>
            </w:pPr>
            <w:r>
              <w:rPr>
                <w:rFonts w:hint="eastAsia"/>
                <w:color w:val="auto"/>
                <w:sz w:val="24"/>
                <w:highlight w:val="none"/>
                <w:lang w:val="en-US" w:eastAsia="zh-CN"/>
              </w:rPr>
              <w:t>根据《声环境功能区划分技术规范》（</w:t>
            </w:r>
            <w:r>
              <w:rPr>
                <w:rFonts w:hint="default" w:ascii="Times New Roman" w:hAnsi="Times New Roman" w:cs="Times New Roman"/>
                <w:color w:val="auto"/>
                <w:sz w:val="24"/>
                <w:highlight w:val="none"/>
                <w:lang w:val="en-US" w:eastAsia="zh-CN"/>
              </w:rPr>
              <w:t>GB</w:t>
            </w:r>
            <w:r>
              <w:rPr>
                <w:rFonts w:hint="eastAsia"/>
                <w:color w:val="auto"/>
                <w:sz w:val="24"/>
                <w:highlight w:val="none"/>
                <w:lang w:val="en-US" w:eastAsia="zh-CN"/>
              </w:rPr>
              <w:t>/</w:t>
            </w:r>
            <w:r>
              <w:rPr>
                <w:rFonts w:hint="default" w:ascii="Times New Roman" w:hAnsi="Times New Roman" w:cs="Times New Roman"/>
                <w:color w:val="auto"/>
                <w:sz w:val="24"/>
                <w:highlight w:val="none"/>
                <w:lang w:val="en-US" w:eastAsia="zh-CN"/>
              </w:rPr>
              <w:t>T15190</w:t>
            </w:r>
            <w:r>
              <w:rPr>
                <w:rFonts w:hint="eastAsia"/>
                <w:color w:val="auto"/>
                <w:sz w:val="24"/>
                <w:highlight w:val="none"/>
                <w:lang w:val="en-US" w:eastAsia="zh-CN"/>
              </w:rPr>
              <w:t>-</w:t>
            </w:r>
            <w:r>
              <w:rPr>
                <w:rFonts w:hint="default" w:ascii="Times New Roman" w:hAnsi="Times New Roman" w:cs="Times New Roman"/>
                <w:color w:val="auto"/>
                <w:sz w:val="24"/>
                <w:highlight w:val="none"/>
                <w:lang w:val="en-US" w:eastAsia="zh-CN"/>
              </w:rPr>
              <w:t>2014</w:t>
            </w:r>
            <w:r>
              <w:rPr>
                <w:rFonts w:hint="eastAsia"/>
                <w:color w:val="auto"/>
                <w:sz w:val="24"/>
                <w:highlight w:val="none"/>
                <w:lang w:val="en-US" w:eastAsia="zh-CN"/>
              </w:rPr>
              <w:t>），本项目属于</w:t>
            </w:r>
            <w:r>
              <w:rPr>
                <w:rFonts w:hint="default" w:ascii="Times New Roman" w:hAnsi="Times New Roman" w:cs="Times New Roman"/>
                <w:color w:val="auto"/>
                <w:sz w:val="24"/>
                <w:highlight w:val="none"/>
                <w:lang w:val="en-US" w:eastAsia="zh-CN"/>
              </w:rPr>
              <w:t>2</w:t>
            </w:r>
            <w:r>
              <w:rPr>
                <w:rFonts w:hint="eastAsia"/>
                <w:color w:val="auto"/>
                <w:sz w:val="24"/>
                <w:highlight w:val="none"/>
                <w:lang w:val="en-US" w:eastAsia="zh-CN"/>
              </w:rPr>
              <w:t>类功能区，</w:t>
            </w:r>
            <w:r>
              <w:rPr>
                <w:rFonts w:hint="default"/>
                <w:color w:val="auto"/>
                <w:sz w:val="24"/>
                <w:highlight w:val="none"/>
                <w:lang w:val="en-US" w:eastAsia="zh-CN"/>
              </w:rPr>
              <w:t>本项目</w:t>
            </w:r>
            <w:r>
              <w:rPr>
                <w:rFonts w:hint="eastAsia"/>
                <w:color w:val="auto"/>
                <w:sz w:val="24"/>
                <w:highlight w:val="none"/>
                <w:lang w:val="en-US" w:eastAsia="zh-CN"/>
              </w:rPr>
              <w:t>运行期</w:t>
            </w:r>
            <w:r>
              <w:rPr>
                <w:rFonts w:hint="default"/>
                <w:color w:val="auto"/>
                <w:sz w:val="24"/>
                <w:highlight w:val="none"/>
                <w:lang w:val="en-US" w:eastAsia="zh-CN"/>
              </w:rPr>
              <w:t>厂界噪声执行《工业企业厂界环境噪声排放标准》（</w:t>
            </w:r>
            <w:r>
              <w:rPr>
                <w:rFonts w:hint="default" w:ascii="Times New Roman" w:hAnsi="Times New Roman" w:cs="Times New Roman"/>
                <w:color w:val="auto"/>
                <w:sz w:val="24"/>
                <w:highlight w:val="none"/>
                <w:lang w:val="en-US" w:eastAsia="zh-CN"/>
              </w:rPr>
              <w:t>GB12348</w:t>
            </w:r>
            <w:r>
              <w:rPr>
                <w:rFonts w:hint="default"/>
                <w:color w:val="auto"/>
                <w:sz w:val="24"/>
                <w:highlight w:val="none"/>
                <w:lang w:val="en-US" w:eastAsia="zh-CN"/>
              </w:rPr>
              <w:sym w:font="Symbol" w:char="F02D"/>
            </w:r>
            <w:r>
              <w:rPr>
                <w:rFonts w:hint="default" w:ascii="Times New Roman" w:hAnsi="Times New Roman" w:cs="Times New Roman"/>
                <w:color w:val="auto"/>
                <w:sz w:val="24"/>
                <w:highlight w:val="none"/>
                <w:lang w:val="en-US" w:eastAsia="zh-CN"/>
              </w:rPr>
              <w:t>2008</w:t>
            </w:r>
            <w:r>
              <w:rPr>
                <w:rFonts w:hint="default"/>
                <w:color w:val="auto"/>
                <w:sz w:val="24"/>
                <w:highlight w:val="none"/>
                <w:lang w:val="en-US" w:eastAsia="zh-CN"/>
              </w:rPr>
              <w:t>）中的</w:t>
            </w:r>
            <w:r>
              <w:rPr>
                <w:rFonts w:hint="default" w:ascii="Times New Roman" w:hAnsi="Times New Roman" w:cs="Times New Roman"/>
                <w:color w:val="auto"/>
                <w:sz w:val="24"/>
                <w:highlight w:val="none"/>
                <w:lang w:val="en-US" w:eastAsia="zh-CN"/>
              </w:rPr>
              <w:t>2</w:t>
            </w:r>
            <w:r>
              <w:rPr>
                <w:rFonts w:hint="default"/>
                <w:color w:val="auto"/>
                <w:sz w:val="24"/>
                <w:highlight w:val="none"/>
                <w:lang w:val="en-US" w:eastAsia="zh-CN"/>
              </w:rPr>
              <w:t>类标准，</w:t>
            </w:r>
            <w:r>
              <w:rPr>
                <w:rFonts w:hint="eastAsia"/>
                <w:color w:val="auto"/>
                <w:sz w:val="24"/>
                <w:highlight w:val="none"/>
                <w:lang w:val="en-US" w:eastAsia="zh-CN"/>
              </w:rPr>
              <w:t>南侧临331国道一侧执行</w:t>
            </w:r>
            <w:r>
              <w:rPr>
                <w:rFonts w:hint="default"/>
                <w:color w:val="auto"/>
                <w:sz w:val="24"/>
                <w:highlight w:val="none"/>
                <w:lang w:val="en-US" w:eastAsia="zh-CN"/>
              </w:rPr>
              <w:t>《工业企业厂界环境噪声排放标准》（</w:t>
            </w:r>
            <w:r>
              <w:rPr>
                <w:rFonts w:hint="default" w:ascii="Times New Roman" w:hAnsi="Times New Roman" w:cs="Times New Roman"/>
                <w:color w:val="auto"/>
                <w:sz w:val="24"/>
                <w:highlight w:val="none"/>
                <w:lang w:val="en-US" w:eastAsia="zh-CN"/>
              </w:rPr>
              <w:t>GB12348</w:t>
            </w:r>
            <w:r>
              <w:rPr>
                <w:rFonts w:hint="default"/>
                <w:color w:val="auto"/>
                <w:sz w:val="24"/>
                <w:highlight w:val="none"/>
                <w:lang w:val="en-US" w:eastAsia="zh-CN"/>
              </w:rPr>
              <w:sym w:font="Symbol" w:char="F02D"/>
            </w:r>
            <w:r>
              <w:rPr>
                <w:rFonts w:hint="default" w:ascii="Times New Roman" w:hAnsi="Times New Roman" w:cs="Times New Roman"/>
                <w:color w:val="auto"/>
                <w:sz w:val="24"/>
                <w:highlight w:val="none"/>
                <w:lang w:val="en-US" w:eastAsia="zh-CN"/>
              </w:rPr>
              <w:t>2008</w:t>
            </w:r>
            <w:r>
              <w:rPr>
                <w:rFonts w:hint="default"/>
                <w:color w:val="auto"/>
                <w:sz w:val="24"/>
                <w:highlight w:val="none"/>
                <w:lang w:val="en-US" w:eastAsia="zh-CN"/>
              </w:rPr>
              <w:t>）中的</w:t>
            </w:r>
            <w:r>
              <w:rPr>
                <w:rFonts w:hint="default" w:ascii="Times New Roman" w:hAnsi="Times New Roman" w:cs="Times New Roman"/>
                <w:color w:val="auto"/>
                <w:sz w:val="24"/>
                <w:highlight w:val="none"/>
                <w:lang w:val="en-US" w:eastAsia="zh-CN"/>
              </w:rPr>
              <w:t>4</w:t>
            </w:r>
            <w:r>
              <w:rPr>
                <w:rFonts w:hint="eastAsia" w:cs="Times New Roman"/>
                <w:color w:val="auto"/>
                <w:sz w:val="24"/>
                <w:highlight w:val="none"/>
                <w:lang w:val="en-US" w:eastAsia="zh-CN"/>
              </w:rPr>
              <w:t>a</w:t>
            </w:r>
            <w:r>
              <w:rPr>
                <w:rFonts w:hint="default"/>
                <w:color w:val="auto"/>
                <w:sz w:val="24"/>
                <w:highlight w:val="none"/>
                <w:lang w:val="en-US" w:eastAsia="zh-CN"/>
              </w:rPr>
              <w:t>类标准标准值见表</w:t>
            </w:r>
            <w:r>
              <w:rPr>
                <w:rFonts w:hint="default" w:ascii="Times New Roman" w:hAnsi="Times New Roman" w:cs="Times New Roman"/>
                <w:color w:val="auto"/>
                <w:sz w:val="24"/>
                <w:highlight w:val="none"/>
                <w:lang w:val="en-US" w:eastAsia="zh-CN"/>
              </w:rPr>
              <w:t>3</w:t>
            </w:r>
            <w:r>
              <w:rPr>
                <w:rFonts w:hint="default"/>
                <w:color w:val="auto"/>
                <w:sz w:val="24"/>
                <w:highlight w:val="none"/>
                <w:lang w:val="en-US" w:eastAsia="zh-CN"/>
              </w:rPr>
              <w:t>-</w:t>
            </w:r>
            <w:r>
              <w:rPr>
                <w:rFonts w:hint="default" w:ascii="Times New Roman" w:hAnsi="Times New Roman" w:cs="Times New Roman"/>
                <w:color w:val="auto"/>
                <w:sz w:val="24"/>
                <w:highlight w:val="none"/>
                <w:lang w:val="en-US" w:eastAsia="zh-CN"/>
              </w:rPr>
              <w:t>5</w:t>
            </w:r>
            <w:r>
              <w:rPr>
                <w:color w:val="auto"/>
                <w:kern w:val="0"/>
                <w:sz w:val="24"/>
                <w:highlight w:val="none"/>
              </w:rPr>
              <w:t>。</w:t>
            </w:r>
          </w:p>
          <w:p>
            <w:pPr>
              <w:jc w:val="center"/>
              <w:rPr>
                <w:rFonts w:hint="eastAsia"/>
                <w:b/>
                <w:bCs/>
                <w:color w:val="auto"/>
                <w:sz w:val="24"/>
                <w:highlight w:val="none"/>
              </w:rPr>
            </w:pPr>
            <w:r>
              <w:rPr>
                <w:rFonts w:hint="eastAsia"/>
                <w:b/>
                <w:bCs/>
                <w:color w:val="auto"/>
                <w:sz w:val="24"/>
                <w:highlight w:val="none"/>
              </w:rPr>
              <w:t>表</w:t>
            </w:r>
            <w:r>
              <w:rPr>
                <w:rFonts w:hint="default" w:ascii="Times New Roman" w:hAnsi="Times New Roman" w:cs="Times New Roman"/>
                <w:b/>
                <w:bCs/>
                <w:color w:val="auto"/>
                <w:sz w:val="24"/>
                <w:highlight w:val="none"/>
              </w:rPr>
              <w:t>3</w:t>
            </w:r>
            <w:r>
              <w:rPr>
                <w:rFonts w:hint="eastAsia"/>
                <w:b/>
                <w:bCs/>
                <w:color w:val="auto"/>
                <w:sz w:val="24"/>
                <w:highlight w:val="none"/>
                <w:lang w:val="en-US" w:eastAsia="zh-CN"/>
              </w:rPr>
              <w:t>-</w:t>
            </w:r>
            <w:r>
              <w:rPr>
                <w:rFonts w:hint="default" w:ascii="Times New Roman" w:hAnsi="Times New Roman" w:cs="Times New Roman"/>
                <w:b/>
                <w:bCs/>
                <w:color w:val="auto"/>
                <w:sz w:val="24"/>
                <w:highlight w:val="none"/>
                <w:lang w:val="en-US" w:eastAsia="zh-CN"/>
              </w:rPr>
              <w:t>5</w:t>
            </w:r>
            <w:r>
              <w:rPr>
                <w:rFonts w:hint="eastAsia"/>
                <w:b/>
                <w:bCs/>
                <w:color w:val="auto"/>
                <w:sz w:val="24"/>
                <w:highlight w:val="none"/>
                <w:lang w:val="en-US" w:eastAsia="zh-CN"/>
              </w:rPr>
              <w:t xml:space="preserve"> </w:t>
            </w:r>
            <w:r>
              <w:rPr>
                <w:rFonts w:hint="eastAsia"/>
                <w:b/>
                <w:bCs/>
                <w:color w:val="auto"/>
                <w:sz w:val="24"/>
                <w:highlight w:val="none"/>
              </w:rPr>
              <w:t>工业企业厂界环境噪声排放标准</w:t>
            </w:r>
          </w:p>
          <w:tbl>
            <w:tblPr>
              <w:tblStyle w:val="32"/>
              <w:tblW w:w="803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3220"/>
              <w:gridCol w:w="32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9" w:type="dxa"/>
                  <w:vMerge w:val="restart"/>
                  <w:vAlign w:val="center"/>
                </w:tcPr>
                <w:p>
                  <w:pPr>
                    <w:widowControl/>
                    <w:adjustRightInd w:val="0"/>
                    <w:snapToGrid w:val="0"/>
                    <w:jc w:val="center"/>
                    <w:rPr>
                      <w:color w:val="auto"/>
                      <w:kern w:val="0"/>
                      <w:szCs w:val="21"/>
                      <w:highlight w:val="none"/>
                    </w:rPr>
                  </w:pPr>
                  <w:r>
                    <w:rPr>
                      <w:color w:val="auto"/>
                      <w:kern w:val="0"/>
                      <w:szCs w:val="21"/>
                      <w:highlight w:val="none"/>
                    </w:rPr>
                    <w:t>类别</w:t>
                  </w:r>
                </w:p>
              </w:tc>
              <w:tc>
                <w:tcPr>
                  <w:tcW w:w="6440" w:type="dxa"/>
                  <w:gridSpan w:val="2"/>
                  <w:vAlign w:val="center"/>
                </w:tcPr>
                <w:p>
                  <w:pPr>
                    <w:widowControl/>
                    <w:adjustRightInd w:val="0"/>
                    <w:snapToGrid w:val="0"/>
                    <w:jc w:val="center"/>
                    <w:rPr>
                      <w:color w:val="auto"/>
                      <w:kern w:val="0"/>
                      <w:szCs w:val="21"/>
                      <w:highlight w:val="none"/>
                    </w:rPr>
                  </w:pPr>
                  <w:r>
                    <w:rPr>
                      <w:color w:val="auto"/>
                      <w:kern w:val="0"/>
                      <w:szCs w:val="21"/>
                      <w:highlight w:val="none"/>
                    </w:rPr>
                    <w:t>环境噪声标准值</w:t>
                  </w:r>
                  <w:r>
                    <w:rPr>
                      <w:rFonts w:hint="default" w:ascii="Times New Roman" w:hAnsi="Times New Roman" w:cs="Times New Roman"/>
                      <w:color w:val="auto"/>
                      <w:kern w:val="0"/>
                      <w:szCs w:val="21"/>
                      <w:highlight w:val="none"/>
                    </w:rPr>
                    <w:t>dB</w:t>
                  </w:r>
                  <w:r>
                    <w:rPr>
                      <w:color w:val="auto"/>
                      <w:kern w:val="0"/>
                      <w:szCs w:val="21"/>
                      <w:highlight w:val="none"/>
                    </w:rPr>
                    <w:t>（</w:t>
                  </w:r>
                  <w:r>
                    <w:rPr>
                      <w:rFonts w:hint="default" w:ascii="Times New Roman" w:hAnsi="Times New Roman" w:cs="Times New Roman"/>
                      <w:color w:val="auto"/>
                      <w:kern w:val="0"/>
                      <w:szCs w:val="21"/>
                      <w:highlight w:val="none"/>
                    </w:rPr>
                    <w:t>A</w:t>
                  </w:r>
                  <w:r>
                    <w:rPr>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9" w:type="dxa"/>
                  <w:vMerge w:val="continue"/>
                  <w:vAlign w:val="center"/>
                </w:tcPr>
                <w:p>
                  <w:pPr>
                    <w:widowControl/>
                    <w:adjustRightInd w:val="0"/>
                    <w:snapToGrid w:val="0"/>
                    <w:jc w:val="center"/>
                    <w:rPr>
                      <w:color w:val="auto"/>
                      <w:kern w:val="0"/>
                      <w:szCs w:val="21"/>
                      <w:highlight w:val="none"/>
                    </w:rPr>
                  </w:pPr>
                </w:p>
              </w:tc>
              <w:tc>
                <w:tcPr>
                  <w:tcW w:w="3220" w:type="dxa"/>
                  <w:vAlign w:val="center"/>
                </w:tcPr>
                <w:p>
                  <w:pPr>
                    <w:widowControl/>
                    <w:adjustRightInd w:val="0"/>
                    <w:snapToGrid w:val="0"/>
                    <w:jc w:val="center"/>
                    <w:rPr>
                      <w:color w:val="auto"/>
                      <w:kern w:val="0"/>
                      <w:szCs w:val="21"/>
                      <w:highlight w:val="none"/>
                    </w:rPr>
                  </w:pPr>
                  <w:r>
                    <w:rPr>
                      <w:color w:val="auto"/>
                      <w:kern w:val="0"/>
                      <w:szCs w:val="21"/>
                      <w:highlight w:val="none"/>
                    </w:rPr>
                    <w:t>昼间</w:t>
                  </w:r>
                </w:p>
              </w:tc>
              <w:tc>
                <w:tcPr>
                  <w:tcW w:w="3220" w:type="dxa"/>
                  <w:vAlign w:val="center"/>
                </w:tcPr>
                <w:p>
                  <w:pPr>
                    <w:widowControl/>
                    <w:adjustRightInd w:val="0"/>
                    <w:snapToGrid w:val="0"/>
                    <w:jc w:val="center"/>
                    <w:rPr>
                      <w:color w:val="auto"/>
                      <w:kern w:val="0"/>
                      <w:szCs w:val="21"/>
                      <w:highlight w:val="none"/>
                    </w:rPr>
                  </w:pPr>
                  <w:r>
                    <w:rPr>
                      <w:color w:val="auto"/>
                      <w:kern w:val="0"/>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9" w:type="dxa"/>
                  <w:vAlign w:val="center"/>
                </w:tcPr>
                <w:p>
                  <w:pPr>
                    <w:widowControl/>
                    <w:adjustRightInd w:val="0"/>
                    <w:snapToGrid w:val="0"/>
                    <w:jc w:val="center"/>
                    <w:rPr>
                      <w:color w:val="auto"/>
                      <w:kern w:val="0"/>
                      <w:szCs w:val="21"/>
                      <w:highlight w:val="none"/>
                    </w:rPr>
                  </w:pPr>
                  <w:r>
                    <w:rPr>
                      <w:rFonts w:hint="default" w:ascii="Times New Roman" w:hAnsi="Times New Roman" w:cs="Times New Roman"/>
                      <w:color w:val="auto"/>
                      <w:kern w:val="0"/>
                      <w:szCs w:val="21"/>
                      <w:highlight w:val="none"/>
                    </w:rPr>
                    <w:t>2</w:t>
                  </w:r>
                  <w:r>
                    <w:rPr>
                      <w:color w:val="auto"/>
                      <w:kern w:val="0"/>
                      <w:szCs w:val="21"/>
                      <w:highlight w:val="none"/>
                    </w:rPr>
                    <w:t>类</w:t>
                  </w:r>
                </w:p>
              </w:tc>
              <w:tc>
                <w:tcPr>
                  <w:tcW w:w="3220" w:type="dxa"/>
                  <w:vAlign w:val="center"/>
                </w:tcPr>
                <w:p>
                  <w:pPr>
                    <w:widowControl/>
                    <w:adjustRightInd w:val="0"/>
                    <w:snapToGrid w:val="0"/>
                    <w:jc w:val="center"/>
                    <w:rPr>
                      <w:color w:val="auto"/>
                      <w:kern w:val="0"/>
                      <w:szCs w:val="21"/>
                      <w:highlight w:val="none"/>
                    </w:rPr>
                  </w:pPr>
                  <w:r>
                    <w:rPr>
                      <w:rFonts w:hint="default" w:ascii="Times New Roman" w:hAnsi="Times New Roman" w:cs="Times New Roman"/>
                      <w:color w:val="auto"/>
                      <w:kern w:val="0"/>
                      <w:szCs w:val="21"/>
                      <w:highlight w:val="none"/>
                    </w:rPr>
                    <w:t>60</w:t>
                  </w:r>
                </w:p>
              </w:tc>
              <w:tc>
                <w:tcPr>
                  <w:tcW w:w="3220" w:type="dxa"/>
                  <w:vAlign w:val="center"/>
                </w:tcPr>
                <w:p>
                  <w:pPr>
                    <w:widowControl/>
                    <w:adjustRightInd w:val="0"/>
                    <w:snapToGrid w:val="0"/>
                    <w:jc w:val="center"/>
                    <w:rPr>
                      <w:color w:val="auto"/>
                      <w:kern w:val="0"/>
                      <w:szCs w:val="21"/>
                      <w:highlight w:val="none"/>
                    </w:rPr>
                  </w:pPr>
                  <w:r>
                    <w:rPr>
                      <w:rFonts w:hint="default" w:ascii="Times New Roman" w:hAnsi="Times New Roman" w:cs="Times New Roman"/>
                      <w:color w:val="auto"/>
                      <w:kern w:val="0"/>
                      <w:szCs w:val="21"/>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9" w:type="dxa"/>
                  <w:vAlign w:val="center"/>
                </w:tcPr>
                <w:p>
                  <w:pPr>
                    <w:widowControl/>
                    <w:adjustRightInd w:val="0"/>
                    <w:snapToGrid w:val="0"/>
                    <w:jc w:val="center"/>
                    <w:rPr>
                      <w:rFonts w:hint="eastAsia" w:eastAsia="宋体"/>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w:t>
                  </w:r>
                  <w:r>
                    <w:rPr>
                      <w:rFonts w:hint="eastAsia" w:cs="Times New Roman"/>
                      <w:color w:val="auto"/>
                      <w:kern w:val="0"/>
                      <w:szCs w:val="21"/>
                      <w:highlight w:val="none"/>
                      <w:lang w:val="en-US" w:eastAsia="zh-CN"/>
                    </w:rPr>
                    <w:t>a</w:t>
                  </w:r>
                  <w:r>
                    <w:rPr>
                      <w:rFonts w:hint="eastAsia"/>
                      <w:color w:val="auto"/>
                      <w:kern w:val="0"/>
                      <w:szCs w:val="21"/>
                      <w:highlight w:val="none"/>
                      <w:lang w:val="en-US" w:eastAsia="zh-CN"/>
                    </w:rPr>
                    <w:t>类</w:t>
                  </w:r>
                </w:p>
              </w:tc>
              <w:tc>
                <w:tcPr>
                  <w:tcW w:w="3220" w:type="dxa"/>
                  <w:vAlign w:val="center"/>
                </w:tcPr>
                <w:p>
                  <w:pPr>
                    <w:widowControl/>
                    <w:adjustRightInd w:val="0"/>
                    <w:snapToGrid w:val="0"/>
                    <w:jc w:val="center"/>
                    <w:rPr>
                      <w:rFonts w:hint="default" w:eastAsia="宋体"/>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70</w:t>
                  </w:r>
                </w:p>
              </w:tc>
              <w:tc>
                <w:tcPr>
                  <w:tcW w:w="3220" w:type="dxa"/>
                  <w:vAlign w:val="center"/>
                </w:tcPr>
                <w:p>
                  <w:pPr>
                    <w:widowControl/>
                    <w:adjustRightInd w:val="0"/>
                    <w:snapToGrid w:val="0"/>
                    <w:jc w:val="center"/>
                    <w:rPr>
                      <w:rFonts w:hint="default" w:eastAsia="宋体"/>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55</w:t>
                  </w:r>
                </w:p>
              </w:tc>
            </w:tr>
          </w:tbl>
          <w:p>
            <w:pPr>
              <w:adjustRightInd w:val="0"/>
              <w:snapToGrid w:val="0"/>
              <w:spacing w:line="360" w:lineRule="auto"/>
              <w:ind w:firstLine="482" w:firstLineChars="200"/>
              <w:rPr>
                <w:b/>
                <w:bCs/>
                <w:color w:val="auto"/>
                <w:sz w:val="24"/>
                <w:highlight w:val="none"/>
              </w:rPr>
            </w:pPr>
            <w:r>
              <w:rPr>
                <w:rFonts w:hint="eastAsia"/>
                <w:b/>
                <w:bCs/>
                <w:color w:val="auto"/>
                <w:sz w:val="24"/>
                <w:highlight w:val="none"/>
                <w:lang w:val="en-US" w:eastAsia="zh-CN"/>
              </w:rPr>
              <w:t>四</w:t>
            </w:r>
            <w:r>
              <w:rPr>
                <w:b/>
                <w:bCs/>
                <w:color w:val="auto"/>
                <w:sz w:val="24"/>
                <w:highlight w:val="none"/>
              </w:rPr>
              <w:t>、固废</w:t>
            </w:r>
          </w:p>
          <w:p>
            <w:pPr>
              <w:widowControl/>
              <w:spacing w:line="360" w:lineRule="auto"/>
              <w:ind w:firstLine="480" w:firstLineChars="200"/>
              <w:rPr>
                <w:rFonts w:hint="eastAsia"/>
                <w:color w:val="auto"/>
                <w:lang w:eastAsia="zh-CN"/>
              </w:rPr>
            </w:pPr>
            <w:r>
              <w:rPr>
                <w:rFonts w:ascii="Times New Roman" w:hAnsi="Times New Roman" w:eastAsia="宋体" w:cs="Times New Roman"/>
                <w:color w:val="auto"/>
                <w:kern w:val="0"/>
                <w:sz w:val="24"/>
                <w:highlight w:val="none"/>
              </w:rPr>
              <w:t>一般固废执行《一般工业固体废物贮存和填埋污染控制标准》（</w:t>
            </w:r>
            <w:r>
              <w:rPr>
                <w:rFonts w:hint="default" w:ascii="Times New Roman" w:hAnsi="Times New Roman" w:eastAsia="宋体" w:cs="Times New Roman"/>
                <w:color w:val="auto"/>
                <w:kern w:val="0"/>
                <w:sz w:val="24"/>
                <w:highlight w:val="none"/>
              </w:rPr>
              <w:t>GB18599</w:t>
            </w:r>
            <w:r>
              <w:rPr>
                <w:rFonts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rPr>
              <w:t>2020</w:t>
            </w:r>
            <w:r>
              <w:rPr>
                <w:rFonts w:ascii="Times New Roman" w:hAnsi="Times New Roman" w:eastAsia="宋体" w:cs="Times New Roman"/>
                <w:color w:val="auto"/>
                <w:kern w:val="0"/>
                <w:sz w:val="24"/>
                <w:highlight w:val="none"/>
              </w:rPr>
              <w:t>）及《</w:t>
            </w:r>
            <w:r>
              <w:rPr>
                <w:rFonts w:hint="eastAsia" w:ascii="Times New Roman" w:hAnsi="Times New Roman" w:eastAsia="宋体" w:cs="Times New Roman"/>
                <w:color w:val="auto"/>
                <w:kern w:val="0"/>
                <w:sz w:val="24"/>
                <w:highlight w:val="none"/>
                <w:lang w:val="en-US" w:eastAsia="zh-CN"/>
              </w:rPr>
              <w:t>固体废物分类与代码目录</w:t>
            </w:r>
            <w:r>
              <w:rPr>
                <w:rFonts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val="en-US" w:eastAsia="zh-CN"/>
              </w:rPr>
              <w:t>公告</w:t>
            </w:r>
            <w:r>
              <w:rPr>
                <w:rFonts w:hint="default" w:ascii="Times New Roman" w:hAnsi="Times New Roman" w:eastAsia="宋体" w:cs="Times New Roman"/>
                <w:color w:val="auto"/>
                <w:kern w:val="0"/>
                <w:sz w:val="24"/>
                <w:highlight w:val="none"/>
                <w:lang w:val="en-US" w:eastAsia="zh-CN"/>
              </w:rPr>
              <w:t>2024</w:t>
            </w:r>
            <w:r>
              <w:rPr>
                <w:rFonts w:hint="eastAsia" w:ascii="Times New Roman" w:hAnsi="Times New Roman" w:eastAsia="宋体" w:cs="Times New Roman"/>
                <w:color w:val="auto"/>
                <w:kern w:val="0"/>
                <w:sz w:val="24"/>
                <w:highlight w:val="none"/>
                <w:lang w:val="en-US" w:eastAsia="zh-CN"/>
              </w:rPr>
              <w:t>年第</w:t>
            </w:r>
            <w:r>
              <w:rPr>
                <w:rFonts w:hint="default" w:ascii="Times New Roman" w:hAnsi="Times New Roman" w:eastAsia="宋体"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val="en-US" w:eastAsia="zh-CN"/>
              </w:rPr>
              <w:t>号</w:t>
            </w:r>
            <w:r>
              <w:rPr>
                <w:rFonts w:ascii="Times New Roman" w:hAnsi="Times New Roman" w:eastAsia="宋体" w:cs="Times New Roman"/>
                <w:color w:val="auto"/>
                <w:kern w:val="0"/>
                <w:sz w:val="24"/>
                <w:highlight w:val="none"/>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jc w:val="center"/>
        </w:trPr>
        <w:tc>
          <w:tcPr>
            <w:tcW w:w="806" w:type="dxa"/>
            <w:vAlign w:val="center"/>
          </w:tcPr>
          <w:p>
            <w:pPr>
              <w:adjustRightInd w:val="0"/>
              <w:snapToGrid w:val="0"/>
              <w:jc w:val="center"/>
              <w:rPr>
                <w:b/>
                <w:bCs/>
                <w:color w:val="auto"/>
                <w:kern w:val="0"/>
                <w:sz w:val="24"/>
                <w:szCs w:val="24"/>
                <w:highlight w:val="none"/>
              </w:rPr>
            </w:pPr>
            <w:r>
              <w:rPr>
                <w:b/>
                <w:bCs/>
                <w:color w:val="auto"/>
                <w:kern w:val="0"/>
                <w:sz w:val="24"/>
                <w:szCs w:val="24"/>
                <w:highlight w:val="none"/>
              </w:rPr>
              <w:t>总量</w:t>
            </w:r>
          </w:p>
          <w:p>
            <w:pPr>
              <w:adjustRightInd w:val="0"/>
              <w:snapToGrid w:val="0"/>
              <w:jc w:val="center"/>
              <w:rPr>
                <w:b/>
                <w:bCs/>
                <w:color w:val="auto"/>
                <w:kern w:val="0"/>
                <w:sz w:val="24"/>
                <w:szCs w:val="24"/>
                <w:highlight w:val="none"/>
              </w:rPr>
            </w:pPr>
            <w:r>
              <w:rPr>
                <w:b/>
                <w:bCs/>
                <w:color w:val="auto"/>
                <w:kern w:val="0"/>
                <w:sz w:val="24"/>
                <w:szCs w:val="24"/>
                <w:highlight w:val="none"/>
              </w:rPr>
              <w:t>控制</w:t>
            </w:r>
          </w:p>
          <w:p>
            <w:pPr>
              <w:adjustRightInd w:val="0"/>
              <w:snapToGrid w:val="0"/>
              <w:jc w:val="center"/>
              <w:rPr>
                <w:color w:val="auto"/>
                <w:kern w:val="0"/>
                <w:szCs w:val="21"/>
                <w:highlight w:val="none"/>
              </w:rPr>
            </w:pPr>
            <w:r>
              <w:rPr>
                <w:b/>
                <w:bCs/>
                <w:color w:val="auto"/>
                <w:kern w:val="0"/>
                <w:sz w:val="24"/>
                <w:szCs w:val="24"/>
                <w:highlight w:val="none"/>
              </w:rPr>
              <w:t>指标</w:t>
            </w:r>
          </w:p>
        </w:tc>
        <w:tc>
          <w:tcPr>
            <w:tcW w:w="8255" w:type="dxa"/>
            <w:vAlign w:val="center"/>
          </w:tcPr>
          <w:p>
            <w:pPr>
              <w:pStyle w:val="157"/>
              <w:jc w:val="center"/>
              <w:rPr>
                <w:rFonts w:hint="default" w:ascii="Times New Roman" w:hAnsi="Times New Roman" w:eastAsia="宋体" w:cs="Times New Roman"/>
                <w:b/>
                <w:bCs/>
                <w:color w:val="auto"/>
                <w:kern w:val="2"/>
                <w:sz w:val="24"/>
                <w:szCs w:val="24"/>
                <w:highlight w:val="yellow"/>
                <w:lang w:val="en-US" w:eastAsia="zh-CN" w:bidi="ar-SA"/>
              </w:rPr>
            </w:pPr>
          </w:p>
          <w:p>
            <w:pPr>
              <w:pStyle w:val="157"/>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表3-</w:t>
            </w:r>
            <w:r>
              <w:rPr>
                <w:rFonts w:hint="default" w:ascii="Times New Roman" w:hAnsi="Times New Roman" w:cs="Times New Roman"/>
                <w:b/>
                <w:bCs/>
                <w:color w:val="auto"/>
                <w:kern w:val="2"/>
                <w:sz w:val="24"/>
                <w:szCs w:val="24"/>
                <w:highlight w:val="none"/>
                <w:lang w:val="en-US" w:eastAsia="zh-CN" w:bidi="ar-SA"/>
              </w:rPr>
              <w:t>6</w:t>
            </w:r>
            <w:r>
              <w:rPr>
                <w:rFonts w:hint="default" w:ascii="Times New Roman" w:hAnsi="Times New Roman" w:eastAsia="宋体" w:cs="Times New Roman"/>
                <w:b/>
                <w:bCs/>
                <w:color w:val="auto"/>
                <w:kern w:val="2"/>
                <w:sz w:val="24"/>
                <w:szCs w:val="24"/>
                <w:highlight w:val="none"/>
                <w:lang w:val="en-US" w:eastAsia="zh-CN" w:bidi="ar-SA"/>
              </w:rPr>
              <w:t xml:space="preserve"> 本项目总量控制指标情况表</w:t>
            </w:r>
            <w:r>
              <w:rPr>
                <w:rFonts w:hint="eastAsia" w:cs="Times New Roman"/>
                <w:b/>
                <w:bCs/>
                <w:color w:val="auto"/>
                <w:kern w:val="2"/>
                <w:sz w:val="24"/>
                <w:szCs w:val="24"/>
                <w:highlight w:val="none"/>
                <w:lang w:val="en-US" w:eastAsia="zh-CN" w:bidi="ar-SA"/>
              </w:rPr>
              <w:t xml:space="preserve">   单位：</w:t>
            </w:r>
            <w:r>
              <w:rPr>
                <w:rFonts w:hint="default" w:ascii="Times New Roman" w:hAnsi="Times New Roman" w:cs="Times New Roman"/>
                <w:b/>
                <w:bCs/>
                <w:color w:val="auto"/>
                <w:kern w:val="2"/>
                <w:sz w:val="24"/>
                <w:szCs w:val="24"/>
                <w:highlight w:val="none"/>
                <w:lang w:val="en-US" w:eastAsia="zh-CN" w:bidi="ar-SA"/>
              </w:rPr>
              <w:t>t</w:t>
            </w:r>
            <w:r>
              <w:rPr>
                <w:rFonts w:hint="eastAsia" w:cs="Times New Roman"/>
                <w:b/>
                <w:bCs/>
                <w:color w:val="auto"/>
                <w:kern w:val="2"/>
                <w:sz w:val="24"/>
                <w:szCs w:val="24"/>
                <w:highlight w:val="none"/>
                <w:lang w:val="en-US" w:eastAsia="zh-CN" w:bidi="ar-SA"/>
              </w:rPr>
              <w:t>/</w:t>
            </w:r>
            <w:r>
              <w:rPr>
                <w:rFonts w:hint="default" w:ascii="Times New Roman" w:hAnsi="Times New Roman" w:cs="Times New Roman"/>
                <w:b/>
                <w:bCs/>
                <w:color w:val="auto"/>
                <w:kern w:val="2"/>
                <w:sz w:val="24"/>
                <w:szCs w:val="24"/>
                <w:highlight w:val="none"/>
                <w:lang w:val="en-US" w:eastAsia="zh-CN" w:bidi="ar-SA"/>
              </w:rPr>
              <w:t>a</w:t>
            </w:r>
          </w:p>
          <w:tbl>
            <w:tblPr>
              <w:tblStyle w:val="32"/>
              <w:tblW w:w="790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679"/>
              <w:gridCol w:w="2116"/>
              <w:gridCol w:w="25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49" w:type="dxa"/>
                  <w:noWrap w:val="0"/>
                  <w:vAlign w:val="center"/>
                </w:tcPr>
                <w:p>
                  <w:pPr>
                    <w:adjustRightInd w:val="0"/>
                    <w:snapToGrid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w:t>
                  </w:r>
                </w:p>
              </w:tc>
              <w:tc>
                <w:tcPr>
                  <w:tcW w:w="1679" w:type="dxa"/>
                  <w:noWrap w:val="0"/>
                  <w:vAlign w:val="center"/>
                </w:tcPr>
                <w:p>
                  <w:pPr>
                    <w:adjustRightInd w:val="0"/>
                    <w:snapToGrid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污染物名称</w:t>
                  </w:r>
                </w:p>
              </w:tc>
              <w:tc>
                <w:tcPr>
                  <w:tcW w:w="2116" w:type="dxa"/>
                  <w:noWrap w:val="0"/>
                  <w:vAlign w:val="center"/>
                </w:tcPr>
                <w:p>
                  <w:pPr>
                    <w:adjustRightInd w:val="0"/>
                    <w:snapToGrid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预测排放量</w:t>
                  </w:r>
                </w:p>
              </w:tc>
              <w:tc>
                <w:tcPr>
                  <w:tcW w:w="2564" w:type="dxa"/>
                  <w:noWrap w:val="0"/>
                  <w:vAlign w:val="center"/>
                </w:tcPr>
                <w:p>
                  <w:pPr>
                    <w:adjustRightInd w:val="0"/>
                    <w:snapToGrid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核定排放量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49" w:type="dxa"/>
                  <w:noWrap w:val="0"/>
                  <w:vAlign w:val="center"/>
                </w:tcPr>
                <w:p>
                  <w:pPr>
                    <w:adjustRightInd w:val="0"/>
                    <w:snapToGrid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废气</w:t>
                  </w:r>
                </w:p>
              </w:tc>
              <w:tc>
                <w:tcPr>
                  <w:tcW w:w="16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颗粒物</w:t>
                  </w:r>
                </w:p>
              </w:tc>
              <w:tc>
                <w:tcPr>
                  <w:tcW w:w="2116"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0.60</w:t>
                  </w:r>
                </w:p>
              </w:tc>
              <w:tc>
                <w:tcPr>
                  <w:tcW w:w="25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color w:val="auto"/>
                      <w:sz w:val="21"/>
                      <w:szCs w:val="21"/>
                      <w:highlight w:val="none"/>
                      <w:lang w:val="en-US" w:eastAsia="zh-CN"/>
                    </w:rPr>
                    <w:t>0.60</w:t>
                  </w:r>
                </w:p>
              </w:tc>
            </w:tr>
          </w:tbl>
          <w:p>
            <w:pPr>
              <w:pStyle w:val="157"/>
              <w:spacing w:line="360" w:lineRule="auto"/>
              <w:ind w:firstLine="422" w:firstLineChars="200"/>
              <w:jc w:val="both"/>
              <w:rPr>
                <w:color w:val="auto"/>
                <w:highlight w:val="none"/>
              </w:rPr>
            </w:pPr>
          </w:p>
        </w:tc>
      </w:tr>
    </w:tbl>
    <w:p>
      <w:pPr>
        <w:pStyle w:val="28"/>
        <w:jc w:val="center"/>
        <w:outlineLvl w:val="9"/>
        <w:rPr>
          <w:rFonts w:ascii="Times New Roman" w:hAnsi="Times New Roman"/>
          <w:snapToGrid w:val="0"/>
          <w:color w:val="auto"/>
          <w:sz w:val="30"/>
          <w:szCs w:val="30"/>
          <w:highlight w:val="none"/>
        </w:rPr>
        <w:sectPr>
          <w:footerReference r:id="rId7" w:type="default"/>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8"/>
        <w:jc w:val="center"/>
        <w:outlineLvl w:val="0"/>
        <w:rPr>
          <w:rFonts w:ascii="Times New Roman" w:hAnsi="Times New Roman"/>
          <w:b/>
          <w:bCs/>
          <w:snapToGrid w:val="0"/>
          <w:color w:val="auto"/>
          <w:sz w:val="30"/>
          <w:szCs w:val="30"/>
          <w:highlight w:val="none"/>
        </w:rPr>
      </w:pPr>
      <w:bookmarkStart w:id="23" w:name="_Toc29096"/>
      <w:r>
        <w:rPr>
          <w:rFonts w:ascii="Times New Roman" w:hAnsi="Times New Roman"/>
          <w:b/>
          <w:bCs/>
          <w:snapToGrid w:val="0"/>
          <w:color w:val="auto"/>
          <w:sz w:val="30"/>
          <w:szCs w:val="30"/>
          <w:highlight w:val="none"/>
        </w:rPr>
        <w:t>四、主要环境影响和保护措施</w:t>
      </w:r>
      <w:bookmarkEnd w:id="23"/>
    </w:p>
    <w:tbl>
      <w:tblPr>
        <w:tblStyle w:val="32"/>
        <w:tblW w:w="95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8"/>
        <w:gridCol w:w="90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0" w:hRule="atLeast"/>
          <w:jc w:val="center"/>
        </w:trPr>
        <w:tc>
          <w:tcPr>
            <w:tcW w:w="528" w:type="dxa"/>
            <w:tcMar>
              <w:left w:w="28" w:type="dxa"/>
              <w:right w:w="28" w:type="dxa"/>
            </w:tcMar>
            <w:vAlign w:val="center"/>
          </w:tcPr>
          <w:p>
            <w:pPr>
              <w:pStyle w:val="28"/>
              <w:adjustRightInd w:val="0"/>
              <w:snapToGrid w:val="0"/>
              <w:spacing w:before="0" w:beforeAutospacing="0" w:after="0" w:afterAutospacing="0"/>
              <w:jc w:val="center"/>
              <w:rPr>
                <w:rFonts w:ascii="Times New Roman" w:hAnsi="Times New Roman"/>
                <w:b/>
                <w:bCs/>
                <w:color w:val="auto"/>
                <w:kern w:val="2"/>
                <w:szCs w:val="24"/>
                <w:highlight w:val="none"/>
              </w:rPr>
            </w:pPr>
            <w:r>
              <w:rPr>
                <w:rFonts w:ascii="Times New Roman" w:hAnsi="Times New Roman"/>
                <w:b/>
                <w:bCs/>
                <w:color w:val="auto"/>
                <w:kern w:val="2"/>
                <w:szCs w:val="24"/>
                <w:highlight w:val="none"/>
              </w:rPr>
              <w:t>施</w:t>
            </w:r>
          </w:p>
          <w:p>
            <w:pPr>
              <w:pStyle w:val="28"/>
              <w:adjustRightInd w:val="0"/>
              <w:snapToGrid w:val="0"/>
              <w:spacing w:before="0" w:beforeAutospacing="0" w:after="0" w:afterAutospacing="0"/>
              <w:jc w:val="center"/>
              <w:rPr>
                <w:rFonts w:ascii="Times New Roman" w:hAnsi="Times New Roman"/>
                <w:b/>
                <w:bCs/>
                <w:color w:val="auto"/>
                <w:kern w:val="2"/>
                <w:szCs w:val="24"/>
                <w:highlight w:val="none"/>
              </w:rPr>
            </w:pPr>
            <w:r>
              <w:rPr>
                <w:rFonts w:ascii="Times New Roman" w:hAnsi="Times New Roman"/>
                <w:b/>
                <w:bCs/>
                <w:color w:val="auto"/>
                <w:kern w:val="2"/>
                <w:szCs w:val="24"/>
                <w:highlight w:val="none"/>
              </w:rPr>
              <w:t>工</w:t>
            </w:r>
          </w:p>
          <w:p>
            <w:pPr>
              <w:pStyle w:val="28"/>
              <w:adjustRightInd w:val="0"/>
              <w:snapToGrid w:val="0"/>
              <w:spacing w:before="0" w:beforeAutospacing="0" w:after="0" w:afterAutospacing="0"/>
              <w:jc w:val="center"/>
              <w:rPr>
                <w:rFonts w:ascii="Times New Roman" w:hAnsi="Times New Roman"/>
                <w:b/>
                <w:bCs/>
                <w:color w:val="auto"/>
                <w:kern w:val="2"/>
                <w:szCs w:val="24"/>
                <w:highlight w:val="none"/>
              </w:rPr>
            </w:pPr>
            <w:r>
              <w:rPr>
                <w:rFonts w:ascii="Times New Roman" w:hAnsi="Times New Roman"/>
                <w:b/>
                <w:bCs/>
                <w:color w:val="auto"/>
                <w:kern w:val="2"/>
                <w:szCs w:val="24"/>
                <w:highlight w:val="none"/>
              </w:rPr>
              <w:t>期环</w:t>
            </w:r>
          </w:p>
          <w:p>
            <w:pPr>
              <w:pStyle w:val="28"/>
              <w:adjustRightInd w:val="0"/>
              <w:snapToGrid w:val="0"/>
              <w:spacing w:before="0" w:beforeAutospacing="0" w:after="0" w:afterAutospacing="0"/>
              <w:jc w:val="center"/>
              <w:rPr>
                <w:rFonts w:ascii="Times New Roman" w:hAnsi="Times New Roman"/>
                <w:b/>
                <w:bCs/>
                <w:color w:val="auto"/>
                <w:kern w:val="2"/>
                <w:szCs w:val="24"/>
                <w:highlight w:val="none"/>
              </w:rPr>
            </w:pPr>
            <w:r>
              <w:rPr>
                <w:rFonts w:ascii="Times New Roman" w:hAnsi="Times New Roman"/>
                <w:b/>
                <w:bCs/>
                <w:color w:val="auto"/>
                <w:kern w:val="2"/>
                <w:szCs w:val="24"/>
                <w:highlight w:val="none"/>
              </w:rPr>
              <w:t>境保</w:t>
            </w:r>
          </w:p>
          <w:p>
            <w:pPr>
              <w:pStyle w:val="28"/>
              <w:adjustRightInd w:val="0"/>
              <w:snapToGrid w:val="0"/>
              <w:spacing w:before="0" w:beforeAutospacing="0" w:after="0" w:afterAutospacing="0"/>
              <w:jc w:val="center"/>
              <w:rPr>
                <w:rFonts w:ascii="Times New Roman" w:hAnsi="Times New Roman"/>
                <w:bCs/>
                <w:color w:val="auto"/>
                <w:kern w:val="2"/>
                <w:szCs w:val="24"/>
                <w:highlight w:val="none"/>
              </w:rPr>
            </w:pPr>
            <w:r>
              <w:rPr>
                <w:rFonts w:ascii="Times New Roman" w:hAnsi="Times New Roman"/>
                <w:b/>
                <w:bCs/>
                <w:color w:val="auto"/>
                <w:kern w:val="2"/>
                <w:szCs w:val="24"/>
                <w:highlight w:val="none"/>
              </w:rPr>
              <w:t>护</w:t>
            </w:r>
            <w:r>
              <w:rPr>
                <w:rFonts w:hint="eastAsia" w:ascii="Times New Roman" w:hAnsi="Times New Roman"/>
                <w:b/>
                <w:bCs/>
                <w:color w:val="auto"/>
                <w:kern w:val="2"/>
                <w:szCs w:val="24"/>
                <w:highlight w:val="none"/>
                <w:lang w:eastAsia="zh-CN"/>
              </w:rPr>
              <w:t>措施</w:t>
            </w:r>
          </w:p>
        </w:tc>
        <w:tc>
          <w:tcPr>
            <w:tcW w:w="9062" w:type="dxa"/>
            <w:vAlign w:val="center"/>
          </w:tcPr>
          <w:p>
            <w:pPr>
              <w:pStyle w:val="9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eastAsia="宋体"/>
                <w:highlight w:val="none"/>
                <w:lang w:eastAsia="zh-CN"/>
              </w:rPr>
            </w:pPr>
            <w:r>
              <w:rPr>
                <w:rFonts w:hint="default" w:cs="Times New Roman"/>
                <w:color w:val="auto"/>
                <w:sz w:val="24"/>
                <w:highlight w:val="none"/>
              </w:rPr>
              <w:t>本项目</w:t>
            </w:r>
            <w:r>
              <w:rPr>
                <w:rFonts w:hint="eastAsia" w:cs="Times New Roman"/>
                <w:color w:val="auto"/>
                <w:sz w:val="24"/>
                <w:highlight w:val="none"/>
                <w:lang w:eastAsia="zh-CN"/>
              </w:rPr>
              <w:t>为已建成项目</w:t>
            </w:r>
            <w:r>
              <w:rPr>
                <w:rFonts w:hint="default" w:cs="Times New Roman"/>
                <w:color w:val="auto"/>
                <w:sz w:val="24"/>
                <w:highlight w:val="none"/>
              </w:rPr>
              <w:t>，因此本项目不对施工期进行分析</w:t>
            </w:r>
            <w:r>
              <w:rPr>
                <w:rFonts w:hint="eastAsia" w:cs="Times New Roman"/>
                <w:color w:val="auto"/>
                <w:sz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28" w:type="dxa"/>
            <w:tcMar>
              <w:left w:w="28" w:type="dxa"/>
              <w:right w:w="28" w:type="dxa"/>
            </w:tcMar>
            <w:vAlign w:val="center"/>
          </w:tcPr>
          <w:p>
            <w:pPr>
              <w:adjustRightInd w:val="0"/>
              <w:snapToGrid w:val="0"/>
              <w:jc w:val="center"/>
              <w:rPr>
                <w:b/>
                <w:color w:val="auto"/>
                <w:sz w:val="24"/>
                <w:highlight w:val="none"/>
              </w:rPr>
            </w:pPr>
            <w:r>
              <w:rPr>
                <w:b/>
                <w:color w:val="auto"/>
                <w:sz w:val="24"/>
                <w:highlight w:val="none"/>
              </w:rPr>
              <w:t>运营</w:t>
            </w:r>
          </w:p>
          <w:p>
            <w:pPr>
              <w:adjustRightInd w:val="0"/>
              <w:snapToGrid w:val="0"/>
              <w:jc w:val="center"/>
              <w:rPr>
                <w:b/>
                <w:color w:val="auto"/>
                <w:sz w:val="24"/>
                <w:highlight w:val="none"/>
              </w:rPr>
            </w:pPr>
            <w:r>
              <w:rPr>
                <w:b/>
                <w:color w:val="auto"/>
                <w:sz w:val="24"/>
                <w:highlight w:val="none"/>
              </w:rPr>
              <w:t>期环</w:t>
            </w:r>
          </w:p>
          <w:p>
            <w:pPr>
              <w:adjustRightInd w:val="0"/>
              <w:snapToGrid w:val="0"/>
              <w:jc w:val="center"/>
              <w:rPr>
                <w:b/>
                <w:color w:val="auto"/>
                <w:sz w:val="24"/>
                <w:highlight w:val="none"/>
              </w:rPr>
            </w:pPr>
            <w:r>
              <w:rPr>
                <w:b/>
                <w:color w:val="auto"/>
                <w:sz w:val="24"/>
                <w:highlight w:val="none"/>
              </w:rPr>
              <w:t>境影</w:t>
            </w:r>
          </w:p>
          <w:p>
            <w:pPr>
              <w:adjustRightInd w:val="0"/>
              <w:snapToGrid w:val="0"/>
              <w:jc w:val="center"/>
              <w:rPr>
                <w:b/>
                <w:color w:val="auto"/>
                <w:sz w:val="24"/>
                <w:highlight w:val="none"/>
              </w:rPr>
            </w:pPr>
            <w:r>
              <w:rPr>
                <w:b/>
                <w:color w:val="auto"/>
                <w:sz w:val="24"/>
                <w:highlight w:val="none"/>
              </w:rPr>
              <w:t>响和</w:t>
            </w:r>
          </w:p>
          <w:p>
            <w:pPr>
              <w:adjustRightInd w:val="0"/>
              <w:snapToGrid w:val="0"/>
              <w:jc w:val="center"/>
              <w:rPr>
                <w:b/>
                <w:color w:val="auto"/>
                <w:sz w:val="24"/>
                <w:highlight w:val="none"/>
              </w:rPr>
            </w:pPr>
            <w:r>
              <w:rPr>
                <w:b/>
                <w:color w:val="auto"/>
                <w:sz w:val="24"/>
                <w:highlight w:val="none"/>
              </w:rPr>
              <w:t>保护</w:t>
            </w:r>
          </w:p>
          <w:p>
            <w:pPr>
              <w:adjustRightInd w:val="0"/>
              <w:snapToGrid w:val="0"/>
              <w:jc w:val="center"/>
              <w:rPr>
                <w:bCs/>
                <w:color w:val="auto"/>
                <w:szCs w:val="21"/>
                <w:highlight w:val="none"/>
              </w:rPr>
            </w:pPr>
            <w:r>
              <w:rPr>
                <w:b/>
                <w:color w:val="auto"/>
                <w:sz w:val="24"/>
                <w:highlight w:val="none"/>
              </w:rPr>
              <w:t>措施</w:t>
            </w:r>
          </w:p>
        </w:tc>
        <w:tc>
          <w:tcPr>
            <w:tcW w:w="9062" w:type="dxa"/>
          </w:tcPr>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一、废气</w:t>
            </w:r>
          </w:p>
          <w:p>
            <w:pPr>
              <w:pStyle w:val="164"/>
              <w:snapToGrid/>
              <w:spacing w:line="360" w:lineRule="auto"/>
              <w:ind w:left="0" w:leftChars="0" w:firstLine="480" w:firstLineChars="200"/>
              <w:rPr>
                <w:rFonts w:hint="eastAsia"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本项目产生的废气主要为原料</w:t>
            </w:r>
            <w:r>
              <w:rPr>
                <w:rFonts w:hint="eastAsia" w:ascii="Times New Roman" w:hAnsi="Times New Roman" w:eastAsia="宋体" w:cs="Times New Roman"/>
                <w:color w:val="auto"/>
                <w:kern w:val="2"/>
                <w:sz w:val="24"/>
                <w:szCs w:val="24"/>
                <w:highlight w:val="none"/>
                <w:lang w:val="en-US" w:eastAsia="zh-CN" w:bidi="ar-SA"/>
              </w:rPr>
              <w:t>堆存及</w:t>
            </w:r>
            <w:r>
              <w:rPr>
                <w:rFonts w:hint="default" w:ascii="Times New Roman" w:hAnsi="Times New Roman" w:eastAsia="宋体" w:cs="Times New Roman"/>
                <w:color w:val="auto"/>
                <w:kern w:val="2"/>
                <w:sz w:val="24"/>
                <w:szCs w:val="24"/>
                <w:highlight w:val="none"/>
                <w:lang w:val="en-US" w:eastAsia="zh-CN" w:bidi="ar-SA"/>
              </w:rPr>
              <w:t>装卸扬尘、</w:t>
            </w:r>
            <w:r>
              <w:rPr>
                <w:rFonts w:hint="default" w:ascii="Times New Roman" w:hAnsi="Times New Roman" w:eastAsia="宋体" w:cs="Times New Roman"/>
                <w:color w:val="auto"/>
                <w:highlight w:val="none"/>
                <w:lang w:val="en-US" w:eastAsia="zh-CN"/>
              </w:rPr>
              <w:t>水泥</w:t>
            </w:r>
            <w:r>
              <w:rPr>
                <w:rFonts w:hint="eastAsia" w:cs="Times New Roman"/>
                <w:color w:val="auto"/>
                <w:highlight w:val="none"/>
                <w:lang w:val="en-US" w:eastAsia="zh-CN"/>
              </w:rPr>
              <w:t>、粉煤灰</w:t>
            </w:r>
            <w:r>
              <w:rPr>
                <w:rFonts w:hint="default" w:ascii="Times New Roman" w:hAnsi="Times New Roman" w:eastAsia="宋体" w:cs="Times New Roman"/>
                <w:color w:val="auto"/>
                <w:highlight w:val="none"/>
                <w:lang w:val="en-US" w:eastAsia="zh-CN"/>
              </w:rPr>
              <w:t>筒仓粉尘</w:t>
            </w:r>
            <w:r>
              <w:rPr>
                <w:rFonts w:hint="default" w:ascii="Times New Roman" w:hAnsi="Times New Roman" w:eastAsia="宋体" w:cs="Times New Roman"/>
                <w:color w:val="auto"/>
                <w:kern w:val="2"/>
                <w:sz w:val="24"/>
                <w:szCs w:val="24"/>
                <w:highlight w:val="none"/>
                <w:lang w:val="en-US" w:eastAsia="zh-CN" w:bidi="ar-SA"/>
              </w:rPr>
              <w:t>、投料粉尘、</w:t>
            </w:r>
            <w:r>
              <w:rPr>
                <w:rFonts w:hint="eastAsia" w:cs="Times New Roman"/>
                <w:color w:val="auto"/>
                <w:kern w:val="2"/>
                <w:sz w:val="24"/>
                <w:szCs w:val="24"/>
                <w:highlight w:val="none"/>
                <w:lang w:val="en-US" w:eastAsia="zh-CN" w:bidi="ar-SA"/>
              </w:rPr>
              <w:t>搅拌粉尘及</w:t>
            </w:r>
            <w:r>
              <w:rPr>
                <w:rFonts w:hint="default" w:ascii="Times New Roman" w:hAnsi="Times New Roman" w:eastAsia="宋体" w:cs="Times New Roman"/>
                <w:color w:val="auto"/>
                <w:highlight w:val="none"/>
                <w:lang w:eastAsia="zh-CN"/>
              </w:rPr>
              <w:t>厂区内车辆运输扬尘。</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1、污染物</w:t>
            </w:r>
            <w:r>
              <w:rPr>
                <w:rFonts w:hint="eastAsia" w:cs="Times New Roman"/>
                <w:color w:val="auto"/>
                <w:sz w:val="24"/>
                <w:highlight w:val="none"/>
                <w:lang w:val="en-US" w:eastAsia="zh-CN"/>
              </w:rPr>
              <w:t>源强核算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1</w:t>
            </w:r>
            <w:r>
              <w:rPr>
                <w:rFonts w:hint="eastAsia" w:ascii="Times New Roman" w:hAnsi="Times New Roman" w:eastAsia="宋体" w:cs="Times New Roman"/>
                <w:b w:val="0"/>
                <w:bCs/>
                <w:color w:val="auto"/>
                <w:kern w:val="2"/>
                <w:sz w:val="24"/>
                <w:szCs w:val="24"/>
                <w:highlight w:val="none"/>
                <w:lang w:val="en-US" w:eastAsia="zh-CN" w:bidi="ar-SA"/>
              </w:rPr>
              <w:t>）车辆</w:t>
            </w:r>
            <w:r>
              <w:rPr>
                <w:rFonts w:hint="default" w:ascii="Times New Roman" w:hAnsi="Times New Roman" w:eastAsia="宋体" w:cs="Times New Roman"/>
                <w:b w:val="0"/>
                <w:bCs/>
                <w:color w:val="auto"/>
                <w:kern w:val="2"/>
                <w:sz w:val="24"/>
                <w:szCs w:val="24"/>
                <w:highlight w:val="none"/>
                <w:lang w:val="en-US" w:eastAsia="zh-CN" w:bidi="ar-SA"/>
              </w:rPr>
              <w:t>运输扬尘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本项目车辆运输过程中产生的主要大气污染物为汽车尾气和行驶扬尘。运输车辆在进出场区时启动和行驶阶段会产生汽车尾气，主要污染物是</w:t>
            </w:r>
            <w:r>
              <w:rPr>
                <w:rFonts w:hint="default" w:ascii="Times New Roman" w:hAnsi="Times New Roman" w:eastAsia="宋体" w:cs="Times New Roman"/>
                <w:color w:val="auto"/>
                <w:kern w:val="0"/>
                <w:sz w:val="24"/>
                <w:szCs w:val="24"/>
                <w:highlight w:val="none"/>
                <w:lang w:val="en-US" w:eastAsia="zh-CN" w:bidi="ar"/>
              </w:rPr>
              <w:t>CO</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NOx </w:t>
            </w:r>
            <w:r>
              <w:rPr>
                <w:rFonts w:hint="eastAsia" w:ascii="宋体" w:hAnsi="宋体" w:eastAsia="宋体" w:cs="宋体"/>
                <w:color w:val="auto"/>
                <w:kern w:val="0"/>
                <w:sz w:val="24"/>
                <w:szCs w:val="24"/>
                <w:highlight w:val="none"/>
                <w:lang w:val="en-US" w:eastAsia="zh-CN" w:bidi="ar"/>
              </w:rPr>
              <w:t>和</w:t>
            </w:r>
            <w:r>
              <w:rPr>
                <w:rFonts w:hint="default" w:ascii="Times New Roman" w:hAnsi="Times New Roman" w:eastAsia="宋体" w:cs="Times New Roman"/>
                <w:color w:val="auto"/>
                <w:kern w:val="0"/>
                <w:sz w:val="24"/>
                <w:szCs w:val="24"/>
                <w:highlight w:val="none"/>
                <w:lang w:val="en-US" w:eastAsia="zh-CN" w:bidi="ar"/>
              </w:rPr>
              <w:t>THC</w:t>
            </w:r>
            <w:r>
              <w:rPr>
                <w:rFonts w:hint="eastAsia" w:ascii="宋体" w:hAnsi="宋体" w:eastAsia="宋体" w:cs="宋体"/>
                <w:color w:val="auto"/>
                <w:kern w:val="0"/>
                <w:sz w:val="24"/>
                <w:szCs w:val="24"/>
                <w:highlight w:val="none"/>
                <w:lang w:val="en-US" w:eastAsia="zh-CN" w:bidi="ar"/>
              </w:rPr>
              <w:t>，由于项目所在区域地势平坦开阔，无高大建筑，有利于汽车尾气的稀释和扩散，对区域大气环境影响较小，因此本项目重点分析车辆行驶产生的扬尘。本项目原料水泥、粉煤灰采用专用水泥运输罐车运输运入厂区，原料砂石料采用汽车运输，砂石料运输车辆全部采用苫布覆盖。运输产生的粉尘主要是沿途抛洒及道路行驶引起的扬尘，属于无组织排放源。</w:t>
            </w:r>
            <w:r>
              <w:rPr>
                <w:rFonts w:hint="default" w:ascii="Times New Roman" w:hAnsi="Times New Roman" w:eastAsia="宋体" w:cs="Times New Roman"/>
                <w:color w:val="auto"/>
                <w:kern w:val="0"/>
                <w:sz w:val="24"/>
                <w:szCs w:val="24"/>
                <w:highlight w:val="none"/>
                <w:lang w:val="en-US" w:eastAsia="zh-CN" w:bidi="ar"/>
              </w:rPr>
              <w:t xml:space="preserve">选用上海港环境保护中心和武汉水运工程学院提出的经验公式估算（朱景韩，韩健国等；汽车道路扬尘规律研究[J]；交通环保；1986 年Z1期），计算： </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Q = 0.123 (V/5) (W/6.8) </w:t>
            </w:r>
            <w:r>
              <w:rPr>
                <w:rFonts w:hint="default" w:ascii="Times New Roman" w:hAnsi="Times New Roman" w:eastAsia="宋体" w:cs="Times New Roman"/>
                <w:color w:val="auto"/>
                <w:kern w:val="0"/>
                <w:sz w:val="24"/>
                <w:szCs w:val="24"/>
                <w:highlight w:val="none"/>
                <w:vertAlign w:val="superscript"/>
                <w:lang w:val="en-US" w:eastAsia="zh-CN" w:bidi="ar"/>
              </w:rPr>
              <w:t xml:space="preserve">0.85 </w:t>
            </w:r>
            <w:r>
              <w:rPr>
                <w:rFonts w:hint="default" w:ascii="Times New Roman" w:hAnsi="Times New Roman" w:eastAsia="宋体" w:cs="Times New Roman"/>
                <w:color w:val="auto"/>
                <w:kern w:val="0"/>
                <w:sz w:val="24"/>
                <w:szCs w:val="24"/>
                <w:highlight w:val="none"/>
                <w:lang w:val="en-US" w:eastAsia="zh-CN" w:bidi="ar"/>
              </w:rPr>
              <w:t xml:space="preserve">(P/0.5) </w:t>
            </w:r>
            <w:r>
              <w:rPr>
                <w:rFonts w:hint="default" w:ascii="Times New Roman" w:hAnsi="Times New Roman" w:eastAsia="宋体" w:cs="Times New Roman"/>
                <w:color w:val="auto"/>
                <w:kern w:val="0"/>
                <w:sz w:val="24"/>
                <w:szCs w:val="24"/>
                <w:highlight w:val="none"/>
                <w:vertAlign w:val="superscript"/>
                <w:lang w:val="en-US" w:eastAsia="zh-CN" w:bidi="ar"/>
              </w:rPr>
              <w:t>0.75</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式中：Q：汽车行驶时的扬尘，kg/km·辆；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V：汽车速度，km/h；（本次以10km/h计）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W：汽车载重量，吨；（本次以25t计）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P：道路表面扬尘量，kg/m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（本次以0.1kg/m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 xml:space="preserve">计）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本项目车辆在厂区内完成一次运输要200m，项目单辆汽车运输量为25t，则需运</w:t>
            </w:r>
            <w:r>
              <w:rPr>
                <w:rFonts w:hint="eastAsia" w:cs="Times New Roman"/>
                <w:color w:val="auto"/>
                <w:kern w:val="0"/>
                <w:sz w:val="24"/>
                <w:szCs w:val="24"/>
                <w:highlight w:val="none"/>
                <w:lang w:val="en-US" w:eastAsia="zh-CN" w:bidi="ar"/>
              </w:rPr>
              <w:t>600</w:t>
            </w:r>
            <w:r>
              <w:rPr>
                <w:rFonts w:hint="default" w:ascii="Times New Roman" w:hAnsi="Times New Roman" w:eastAsia="宋体" w:cs="Times New Roman"/>
                <w:color w:val="auto"/>
                <w:kern w:val="0"/>
                <w:sz w:val="24"/>
                <w:szCs w:val="24"/>
                <w:highlight w:val="none"/>
                <w:lang w:val="en-US" w:eastAsia="zh-CN" w:bidi="ar"/>
              </w:rPr>
              <w:t>次完成运输任务。以速度10km/h行驶，则本项目运输车辆的起尘量为</w:t>
            </w:r>
            <w:r>
              <w:rPr>
                <w:rFonts w:hint="default" w:ascii="Times New Roman" w:hAnsi="Times New Roman"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.027</w:t>
            </w:r>
            <w:r>
              <w:rPr>
                <w:rFonts w:hint="default" w:ascii="Times New Roman" w:hAnsi="Times New Roman" w:eastAsia="宋体" w:cs="Times New Roman"/>
                <w:color w:val="auto"/>
                <w:kern w:val="0"/>
                <w:sz w:val="24"/>
                <w:szCs w:val="24"/>
                <w:highlight w:val="none"/>
                <w:lang w:val="en-US" w:eastAsia="zh-CN" w:bidi="ar"/>
              </w:rPr>
              <w:t>t/a。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粉状原料由封闭式罐车运输，砂石原料在运输过程中保持湿度并加盖苫布；厂区地面进行硬化，铺置水泥路面，定时洒水抑尘。按照《固体物料堆存颗粒物产排污核算系数手册》中洒水对于粉尘的控制效率为74%，则本项目运输车辆扬尘粉尘无组织排放量为0.0</w:t>
            </w:r>
            <w:r>
              <w:rPr>
                <w:rFonts w:hint="eastAsia" w:cs="Times New Roman"/>
                <w:color w:val="auto"/>
                <w:kern w:val="0"/>
                <w:sz w:val="24"/>
                <w:szCs w:val="24"/>
                <w:highlight w:val="none"/>
                <w:lang w:val="en-US" w:eastAsia="zh-CN" w:bidi="ar"/>
              </w:rPr>
              <w:t>0</w:t>
            </w:r>
            <w:r>
              <w:rPr>
                <w:rFonts w:hint="default" w:ascii="Times New Roman" w:hAnsi="Times New Roman"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t/a。</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bidi="ar-SA"/>
              </w:rPr>
            </w:pP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原料</w:t>
            </w:r>
            <w:r>
              <w:rPr>
                <w:rFonts w:hint="eastAsia" w:ascii="Times New Roman" w:hAnsi="Times New Roman" w:eastAsia="宋体" w:cs="Times New Roman"/>
                <w:color w:val="auto"/>
                <w:sz w:val="24"/>
                <w:szCs w:val="24"/>
                <w:highlight w:val="none"/>
                <w:lang w:val="en-US" w:eastAsia="zh-CN" w:bidi="ar-SA"/>
              </w:rPr>
              <w:t>堆存及装卸扬尘</w:t>
            </w:r>
          </w:p>
          <w:p>
            <w:pPr>
              <w:pStyle w:val="165"/>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80" w:firstLineChars="200"/>
              <w:textAlignment w:val="auto"/>
              <w:rPr>
                <w:rStyle w:val="167"/>
                <w:rFonts w:hint="default"/>
                <w:color w:val="auto"/>
                <w:kern w:val="0"/>
                <w:sz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原料</w:t>
            </w:r>
            <w:r>
              <w:rPr>
                <w:rFonts w:hint="eastAsia" w:ascii="Times New Roman" w:hAnsi="Times New Roman" w:eastAsia="宋体" w:cs="Times New Roman"/>
                <w:color w:val="auto"/>
                <w:kern w:val="0"/>
                <w:sz w:val="24"/>
                <w:szCs w:val="24"/>
                <w:highlight w:val="none"/>
                <w:lang w:val="en-US" w:eastAsia="zh-CN" w:bidi="ar-SA"/>
              </w:rPr>
              <w:t>堆存及装卸扬尘</w:t>
            </w:r>
            <w:r>
              <w:rPr>
                <w:rFonts w:hint="default" w:ascii="Times New Roman" w:hAnsi="Times New Roman" w:eastAsia="宋体" w:cs="Times New Roman"/>
                <w:color w:val="auto"/>
                <w:kern w:val="0"/>
                <w:sz w:val="24"/>
                <w:szCs w:val="24"/>
                <w:highlight w:val="none"/>
                <w:lang w:val="en-US" w:eastAsia="zh-CN" w:bidi="ar-SA"/>
              </w:rPr>
              <w:t>产生量参照《排放源统计调查产排污核算方法和系数手册》附表</w:t>
            </w:r>
            <w:r>
              <w:rPr>
                <w:rFonts w:hint="default" w:ascii="Times New Roman" w:hAnsi="Times New Roman" w:cs="Times New Roman"/>
                <w:color w:val="auto"/>
                <w:kern w:val="0"/>
                <w:sz w:val="24"/>
                <w:szCs w:val="24"/>
                <w:highlight w:val="none"/>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固体物料堆存颗粒物产排污核算系数手册，工业企业固体物料堆存颗粒物产生量核算公</w:t>
            </w:r>
            <w:r>
              <w:rPr>
                <w:rStyle w:val="167"/>
                <w:rFonts w:hint="default"/>
                <w:color w:val="auto"/>
                <w:kern w:val="0"/>
                <w:sz w:val="24"/>
                <w:highlight w:val="none"/>
                <w:lang w:val="en-US" w:eastAsia="zh-CN"/>
              </w:rPr>
              <w:t>式如下：</w:t>
            </w:r>
          </w:p>
          <w:p>
            <w:pPr>
              <w:keepNext w:val="0"/>
              <w:keepLines w:val="0"/>
              <w:pageBreakBefore w:val="0"/>
              <w:widowControl w:val="0"/>
              <w:kinsoku/>
              <w:wordWrap/>
              <w:overflowPunct/>
              <w:topLinePunct w:val="0"/>
              <w:bidi w:val="0"/>
              <w:snapToGrid/>
              <w:spacing w:line="360" w:lineRule="auto"/>
              <w:jc w:val="center"/>
              <w:textAlignment w:val="auto"/>
              <w:rPr>
                <w:color w:val="auto"/>
                <w:highlight w:val="none"/>
              </w:rPr>
            </w:pPr>
            <w:r>
              <w:rPr>
                <w:color w:val="auto"/>
                <w:highlight w:val="none"/>
              </w:rPr>
              <w:drawing>
                <wp:inline distT="0" distB="0" distL="114300" distR="114300">
                  <wp:extent cx="5041900" cy="441960"/>
                  <wp:effectExtent l="0" t="0" r="0" b="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5041900" cy="441960"/>
                          </a:xfrm>
                          <a:prstGeom prst="rect">
                            <a:avLst/>
                          </a:prstGeom>
                          <a:noFill/>
                          <a:ln>
                            <a:noFill/>
                          </a:ln>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kern w:val="0"/>
                <w:sz w:val="24"/>
                <w:szCs w:val="24"/>
                <w:highlight w:val="none"/>
                <w:lang w:eastAsia="zh-CN" w:bidi="ar"/>
              </w:rPr>
            </w:pPr>
            <w:r>
              <w:rPr>
                <w:rFonts w:hint="eastAsia" w:ascii="Times New Roman" w:hAnsi="Times New Roman" w:eastAsia="宋体" w:cs="Times New Roman"/>
                <w:color w:val="auto"/>
                <w:kern w:val="0"/>
                <w:sz w:val="24"/>
                <w:szCs w:val="24"/>
                <w:highlight w:val="none"/>
                <w:lang w:eastAsia="zh-CN" w:bidi="ar"/>
              </w:rPr>
              <w:t>式中：</w:t>
            </w:r>
            <w:r>
              <w:rPr>
                <w:rFonts w:hint="default" w:ascii="Times New Roman" w:hAnsi="Times New Roman" w:eastAsia="宋体" w:cs="Times New Roman"/>
                <w:color w:val="auto"/>
                <w:kern w:val="0"/>
                <w:sz w:val="24"/>
                <w:szCs w:val="24"/>
                <w:highlight w:val="none"/>
                <w:lang w:eastAsia="zh-CN" w:bidi="ar"/>
              </w:rPr>
              <w:t>P</w:t>
            </w:r>
            <w:r>
              <w:rPr>
                <w:rFonts w:hint="eastAsia" w:ascii="Times New Roman" w:hAnsi="Times New Roman" w:eastAsia="宋体" w:cs="Times New Roman"/>
                <w:color w:val="auto"/>
                <w:kern w:val="0"/>
                <w:sz w:val="24"/>
                <w:szCs w:val="24"/>
                <w:highlight w:val="none"/>
                <w:lang w:eastAsia="zh-CN" w:bidi="ar"/>
              </w:rPr>
              <w:t>指颗粒物产生量（单位：吨）；</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ZCy</w:t>
            </w:r>
            <w:r>
              <w:rPr>
                <w:rFonts w:hint="eastAsia" w:ascii="Times New Roman" w:hAnsi="Times New Roman" w:eastAsia="宋体" w:cs="Times New Roman"/>
                <w:color w:val="auto"/>
                <w:kern w:val="0"/>
                <w:sz w:val="24"/>
                <w:szCs w:val="24"/>
                <w:highlight w:val="none"/>
                <w:lang w:eastAsia="zh-CN" w:bidi="ar"/>
              </w:rPr>
              <w:t>指装卸扬尘产生量（单位：吨）；</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FCy</w:t>
            </w:r>
            <w:r>
              <w:rPr>
                <w:rFonts w:hint="eastAsia" w:ascii="Times New Roman" w:hAnsi="Times New Roman" w:eastAsia="宋体" w:cs="Times New Roman"/>
                <w:color w:val="auto"/>
                <w:kern w:val="0"/>
                <w:sz w:val="24"/>
                <w:szCs w:val="24"/>
                <w:highlight w:val="none"/>
                <w:lang w:eastAsia="zh-CN" w:bidi="ar"/>
              </w:rPr>
              <w:t>指风蚀扬尘产生量（单位：吨）；</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Nc</w:t>
            </w:r>
            <w:r>
              <w:rPr>
                <w:rFonts w:hint="eastAsia" w:ascii="Times New Roman" w:hAnsi="Times New Roman" w:eastAsia="宋体" w:cs="Times New Roman"/>
                <w:color w:val="auto"/>
                <w:kern w:val="0"/>
                <w:sz w:val="24"/>
                <w:szCs w:val="24"/>
                <w:highlight w:val="none"/>
                <w:lang w:eastAsia="zh-CN" w:bidi="ar"/>
              </w:rPr>
              <w:t>指年物料运载车次（单位：车），</w:t>
            </w:r>
            <w:r>
              <w:rPr>
                <w:rFonts w:hint="eastAsia" w:ascii="Times New Roman" w:hAnsi="Times New Roman" w:eastAsia="宋体" w:cs="Times New Roman"/>
                <w:color w:val="auto"/>
                <w:kern w:val="0"/>
                <w:sz w:val="24"/>
                <w:szCs w:val="24"/>
                <w:highlight w:val="none"/>
                <w:lang w:val="en-US" w:eastAsia="zh-CN" w:bidi="ar"/>
              </w:rPr>
              <w:t>砂石</w:t>
            </w:r>
            <w:r>
              <w:rPr>
                <w:rFonts w:hint="eastAsia" w:ascii="Times New Roman" w:hAnsi="Times New Roman" w:eastAsia="宋体" w:cs="Times New Roman"/>
                <w:color w:val="auto"/>
                <w:kern w:val="0"/>
                <w:sz w:val="24"/>
                <w:szCs w:val="24"/>
                <w:highlight w:val="none"/>
                <w:lang w:eastAsia="zh-CN" w:bidi="ar"/>
              </w:rPr>
              <w:t>总用量</w:t>
            </w:r>
            <w:r>
              <w:rPr>
                <w:rFonts w:hint="eastAsia" w:ascii="Times New Roman" w:hAnsi="Times New Roman" w:eastAsia="宋体" w:cs="Times New Roman"/>
                <w:color w:val="auto"/>
                <w:kern w:val="0"/>
                <w:sz w:val="24"/>
                <w:szCs w:val="24"/>
                <w:highlight w:val="none"/>
                <w:lang w:val="en-US" w:eastAsia="zh-CN" w:bidi="ar"/>
              </w:rPr>
              <w:t>27195吨，每车装载</w:t>
            </w:r>
            <w:r>
              <w:rPr>
                <w:rFonts w:hint="default" w:ascii="Times New Roman" w:hAnsi="Times New Roman" w:eastAsia="宋体" w:cs="Times New Roman"/>
                <w:color w:val="auto"/>
                <w:kern w:val="0"/>
                <w:sz w:val="24"/>
                <w:szCs w:val="24"/>
                <w:highlight w:val="none"/>
                <w:lang w:val="en-US" w:eastAsia="zh-CN" w:bidi="ar"/>
              </w:rPr>
              <w:t>25</w:t>
            </w:r>
            <w:r>
              <w:rPr>
                <w:rFonts w:hint="eastAsia" w:ascii="Times New Roman" w:hAnsi="Times New Roman" w:eastAsia="宋体" w:cs="Times New Roman"/>
                <w:color w:val="auto"/>
                <w:kern w:val="0"/>
                <w:sz w:val="24"/>
                <w:szCs w:val="24"/>
                <w:highlight w:val="none"/>
                <w:lang w:val="en-US" w:eastAsia="zh-CN" w:bidi="ar"/>
              </w:rPr>
              <w:t>吨，年运转车次1088次</w:t>
            </w:r>
            <w:r>
              <w:rPr>
                <w:rFonts w:hint="eastAsia" w:ascii="Times New Roman" w:hAnsi="Times New Roman" w:eastAsia="宋体" w:cs="Times New Roman"/>
                <w:color w:val="auto"/>
                <w:kern w:val="0"/>
                <w:sz w:val="24"/>
                <w:szCs w:val="24"/>
                <w:highlight w:val="none"/>
                <w:lang w:eastAsia="zh-CN" w:bidi="ar"/>
              </w:rPr>
              <w:t>；</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D</w:t>
            </w:r>
            <w:r>
              <w:rPr>
                <w:rFonts w:hint="eastAsia" w:ascii="Times New Roman" w:hAnsi="Times New Roman" w:eastAsia="宋体" w:cs="Times New Roman"/>
                <w:color w:val="auto"/>
                <w:kern w:val="0"/>
                <w:sz w:val="24"/>
                <w:szCs w:val="24"/>
                <w:highlight w:val="none"/>
                <w:lang w:eastAsia="zh-CN" w:bidi="ar"/>
              </w:rPr>
              <w:t>指单车平均运载量（单位：吨/车），</w:t>
            </w:r>
            <w:r>
              <w:rPr>
                <w:rFonts w:hint="default" w:ascii="Times New Roman" w:hAnsi="Times New Roman" w:eastAsia="宋体" w:cs="Times New Roman"/>
                <w:color w:val="auto"/>
                <w:kern w:val="0"/>
                <w:sz w:val="24"/>
                <w:szCs w:val="24"/>
                <w:highlight w:val="none"/>
                <w:lang w:val="en-US" w:eastAsia="zh-CN" w:bidi="ar"/>
              </w:rPr>
              <w:t>25</w:t>
            </w:r>
            <w:r>
              <w:rPr>
                <w:rFonts w:hint="eastAsia" w:ascii="Times New Roman" w:hAnsi="Times New Roman" w:eastAsia="宋体" w:cs="Times New Roman"/>
                <w:color w:val="auto"/>
                <w:kern w:val="0"/>
                <w:sz w:val="24"/>
                <w:szCs w:val="24"/>
                <w:highlight w:val="none"/>
                <w:lang w:val="en-US" w:eastAsia="zh-CN" w:bidi="ar"/>
              </w:rPr>
              <w:t>吨/车</w:t>
            </w:r>
            <w:r>
              <w:rPr>
                <w:rFonts w:hint="eastAsia" w:ascii="Times New Roman" w:hAnsi="Times New Roman" w:eastAsia="宋体" w:cs="Times New Roman"/>
                <w:color w:val="auto"/>
                <w:kern w:val="0"/>
                <w:sz w:val="24"/>
                <w:szCs w:val="24"/>
                <w:highlight w:val="none"/>
                <w:lang w:eastAsia="zh-CN" w:bidi="ar"/>
              </w:rPr>
              <w:t>；</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960" w:firstLineChars="400"/>
              <w:textAlignment w:val="auto"/>
              <w:rPr>
                <w:rFonts w:hint="eastAsia" w:ascii="Times New Roman" w:hAnsi="Times New Roman" w:eastAsia="宋体" w:cs="Times New Roman"/>
                <w:color w:val="auto"/>
                <w:kern w:val="0"/>
                <w:sz w:val="24"/>
                <w:szCs w:val="24"/>
                <w:highlight w:val="none"/>
                <w:lang w:eastAsia="zh-CN" w:bidi="ar"/>
              </w:rPr>
            </w:pPr>
            <w:r>
              <w:rPr>
                <w:rFonts w:hint="eastAsia"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b</w:t>
            </w:r>
            <w:r>
              <w:rPr>
                <w:rFonts w:hint="eastAsia" w:ascii="Times New Roman" w:hAnsi="Times New Roman" w:eastAsia="宋体" w:cs="Times New Roman"/>
                <w:color w:val="auto"/>
                <w:kern w:val="0"/>
                <w:sz w:val="24"/>
                <w:szCs w:val="24"/>
                <w:highlight w:val="none"/>
                <w:lang w:eastAsia="zh-CN" w:bidi="ar"/>
              </w:rPr>
              <w:t>）指装卸扬尘概化系数（单位：千克/吨），</w:t>
            </w:r>
            <w:r>
              <w:rPr>
                <w:rFonts w:hint="default" w:ascii="Times New Roman" w:hAnsi="Times New Roman" w:eastAsia="宋体" w:cs="Times New Roman"/>
                <w:color w:val="auto"/>
                <w:kern w:val="0"/>
                <w:sz w:val="24"/>
                <w:szCs w:val="24"/>
                <w:highlight w:val="none"/>
                <w:lang w:eastAsia="zh-CN" w:bidi="ar"/>
              </w:rPr>
              <w:t>a</w:t>
            </w:r>
            <w:r>
              <w:rPr>
                <w:rFonts w:hint="eastAsia" w:ascii="Times New Roman" w:hAnsi="Times New Roman" w:eastAsia="宋体" w:cs="Times New Roman"/>
                <w:color w:val="auto"/>
                <w:kern w:val="0"/>
                <w:sz w:val="24"/>
                <w:szCs w:val="24"/>
                <w:highlight w:val="none"/>
                <w:lang w:eastAsia="zh-CN" w:bidi="ar"/>
              </w:rPr>
              <w:t>指各省风速概化系数，见附录</w:t>
            </w:r>
            <w:r>
              <w:rPr>
                <w:rFonts w:hint="default" w:ascii="Times New Roman" w:hAnsi="Times New Roman" w:eastAsia="宋体" w:cs="Times New Roman"/>
                <w:color w:val="auto"/>
                <w:kern w:val="0"/>
                <w:sz w:val="24"/>
                <w:szCs w:val="24"/>
                <w:highlight w:val="none"/>
                <w:lang w:eastAsia="zh-CN" w:bidi="ar"/>
              </w:rPr>
              <w:t>1</w:t>
            </w:r>
            <w:r>
              <w:rPr>
                <w:rFonts w:hint="eastAsia" w:ascii="Times New Roman" w:hAnsi="Times New Roman" w:eastAsia="宋体" w:cs="Times New Roman"/>
                <w:color w:val="auto"/>
                <w:kern w:val="0"/>
                <w:sz w:val="24"/>
                <w:szCs w:val="24"/>
                <w:highlight w:val="none"/>
                <w:lang w:eastAsia="zh-CN" w:bidi="ar"/>
              </w:rPr>
              <w:t>，</w:t>
            </w:r>
            <w:r>
              <w:rPr>
                <w:rFonts w:hint="eastAsia" w:ascii="Times New Roman" w:hAnsi="Times New Roman" w:eastAsia="宋体" w:cs="Times New Roman"/>
                <w:color w:val="auto"/>
                <w:kern w:val="0"/>
                <w:sz w:val="24"/>
                <w:szCs w:val="24"/>
                <w:highlight w:val="none"/>
                <w:lang w:val="en-US" w:eastAsia="zh-CN" w:bidi="ar"/>
              </w:rPr>
              <w:t>本项目位于黑龙江省，则</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eastAsia="宋体" w:cs="Times New Roman"/>
                <w:color w:val="auto"/>
                <w:kern w:val="0"/>
                <w:sz w:val="24"/>
                <w:szCs w:val="24"/>
                <w:highlight w:val="none"/>
                <w:lang w:val="en-US" w:eastAsia="zh-CN" w:bidi="ar"/>
              </w:rPr>
              <w:t>取值</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0015</w:t>
            </w:r>
            <w:r>
              <w:rPr>
                <w:rFonts w:hint="eastAsia"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eastAsia="zh-CN" w:bidi="ar"/>
              </w:rPr>
              <w:t>b</w:t>
            </w:r>
            <w:r>
              <w:rPr>
                <w:rFonts w:hint="eastAsia" w:ascii="Times New Roman" w:hAnsi="Times New Roman" w:eastAsia="宋体" w:cs="Times New Roman"/>
                <w:color w:val="auto"/>
                <w:kern w:val="0"/>
                <w:sz w:val="24"/>
                <w:szCs w:val="24"/>
                <w:highlight w:val="none"/>
                <w:lang w:eastAsia="zh-CN" w:bidi="ar"/>
              </w:rPr>
              <w:t>指物料含水率概化系数，见附录</w:t>
            </w:r>
            <w:r>
              <w:rPr>
                <w:rFonts w:hint="default" w:ascii="Times New Roman" w:hAnsi="Times New Roman" w:eastAsia="宋体" w:cs="Times New Roman"/>
                <w:color w:val="auto"/>
                <w:kern w:val="0"/>
                <w:sz w:val="24"/>
                <w:szCs w:val="24"/>
                <w:highlight w:val="none"/>
                <w:lang w:eastAsia="zh-CN" w:bidi="ar"/>
              </w:rPr>
              <w:t>2</w:t>
            </w:r>
            <w:r>
              <w:rPr>
                <w:rFonts w:hint="eastAsia" w:ascii="Times New Roman" w:hAnsi="Times New Roman" w:eastAsia="宋体" w:cs="Times New Roman"/>
                <w:color w:val="auto"/>
                <w:kern w:val="0"/>
                <w:sz w:val="24"/>
                <w:szCs w:val="24"/>
                <w:highlight w:val="none"/>
                <w:lang w:eastAsia="zh-CN" w:bidi="ar"/>
              </w:rPr>
              <w:t>，项目原料</w:t>
            </w:r>
            <w:r>
              <w:rPr>
                <w:rFonts w:hint="eastAsia" w:ascii="Times New Roman" w:hAnsi="Times New Roman" w:eastAsia="宋体" w:cs="Times New Roman"/>
                <w:color w:val="auto"/>
                <w:kern w:val="0"/>
                <w:sz w:val="24"/>
                <w:szCs w:val="24"/>
                <w:highlight w:val="none"/>
                <w:lang w:val="en-US" w:eastAsia="zh-CN" w:bidi="ar"/>
              </w:rPr>
              <w:t>运输为石粉、砂子，参照混合矿石，对应</w:t>
            </w:r>
            <w:r>
              <w:rPr>
                <w:rFonts w:hint="default" w:ascii="Times New Roman" w:hAnsi="Times New Roman" w:eastAsia="宋体" w:cs="Times New Roman"/>
                <w:color w:val="auto"/>
                <w:kern w:val="0"/>
                <w:sz w:val="24"/>
                <w:szCs w:val="24"/>
                <w:highlight w:val="none"/>
                <w:lang w:val="en-US" w:eastAsia="zh-CN" w:bidi="ar"/>
              </w:rPr>
              <w:t>b</w:t>
            </w:r>
            <w:r>
              <w:rPr>
                <w:rFonts w:hint="eastAsia" w:ascii="Times New Roman" w:hAnsi="Times New Roman" w:eastAsia="宋体" w:cs="Times New Roman"/>
                <w:color w:val="auto"/>
                <w:kern w:val="0"/>
                <w:sz w:val="24"/>
                <w:szCs w:val="24"/>
                <w:highlight w:val="none"/>
                <w:lang w:eastAsia="zh-CN" w:bidi="ar"/>
              </w:rPr>
              <w:t>取值</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0084</w:t>
            </w:r>
            <w:r>
              <w:rPr>
                <w:rFonts w:hint="eastAsia" w:ascii="Times New Roman" w:hAnsi="Times New Roman" w:eastAsia="宋体" w:cs="Times New Roman"/>
                <w:color w:val="auto"/>
                <w:kern w:val="0"/>
                <w:sz w:val="24"/>
                <w:szCs w:val="24"/>
                <w:highlight w:val="none"/>
                <w:lang w:eastAsia="zh-CN" w:bidi="ar"/>
              </w:rPr>
              <w:t>；</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E</w:t>
            </w:r>
            <w:r>
              <w:rPr>
                <w:rFonts w:hint="default" w:ascii="Times New Roman" w:hAnsi="Times New Roman" w:eastAsia="宋体" w:cs="Times New Roman"/>
                <w:color w:val="auto"/>
                <w:kern w:val="0"/>
                <w:sz w:val="24"/>
                <w:szCs w:val="24"/>
                <w:highlight w:val="none"/>
                <w:vertAlign w:val="subscript"/>
                <w:lang w:eastAsia="zh-CN" w:bidi="ar"/>
              </w:rPr>
              <w:t>f</w:t>
            </w:r>
            <w:r>
              <w:rPr>
                <w:rFonts w:hint="eastAsia" w:ascii="Times New Roman" w:hAnsi="Times New Roman" w:eastAsia="宋体" w:cs="Times New Roman"/>
                <w:color w:val="auto"/>
                <w:kern w:val="0"/>
                <w:sz w:val="24"/>
                <w:szCs w:val="24"/>
                <w:highlight w:val="none"/>
                <w:lang w:eastAsia="zh-CN" w:bidi="ar"/>
              </w:rPr>
              <w:t>指堆场风蚀扬尘概化系数，</w:t>
            </w:r>
            <w:r>
              <w:rPr>
                <w:rFonts w:hint="eastAsia" w:ascii="Times New Roman" w:hAnsi="Times New Roman" w:eastAsia="宋体" w:cs="Times New Roman"/>
                <w:color w:val="auto"/>
                <w:kern w:val="0"/>
                <w:sz w:val="24"/>
                <w:szCs w:val="24"/>
                <w:highlight w:val="none"/>
                <w:lang w:val="en-US" w:eastAsia="zh-CN" w:bidi="ar"/>
              </w:rPr>
              <w:t>物料堆存类型参照混合矿石，</w:t>
            </w:r>
            <w:r>
              <w:rPr>
                <w:rFonts w:hint="default" w:ascii="Times New Roman" w:hAnsi="Times New Roman" w:eastAsia="宋体" w:cs="Times New Roman"/>
                <w:color w:val="auto"/>
                <w:kern w:val="0"/>
                <w:sz w:val="24"/>
                <w:szCs w:val="24"/>
                <w:highlight w:val="none"/>
                <w:lang w:eastAsia="zh-CN" w:bidi="ar"/>
              </w:rPr>
              <w:t>E</w:t>
            </w:r>
            <w:r>
              <w:rPr>
                <w:rFonts w:hint="default" w:ascii="Times New Roman" w:hAnsi="Times New Roman" w:eastAsia="宋体" w:cs="Times New Roman"/>
                <w:color w:val="auto"/>
                <w:kern w:val="0"/>
                <w:sz w:val="24"/>
                <w:szCs w:val="24"/>
                <w:highlight w:val="none"/>
                <w:vertAlign w:val="subscript"/>
                <w:lang w:eastAsia="zh-CN" w:bidi="ar"/>
              </w:rPr>
              <w:t>f</w:t>
            </w:r>
            <w:r>
              <w:rPr>
                <w:rFonts w:hint="eastAsia" w:ascii="Times New Roman" w:hAnsi="Times New Roman" w:eastAsia="宋体" w:cs="Times New Roman"/>
                <w:color w:val="auto"/>
                <w:kern w:val="0"/>
                <w:sz w:val="24"/>
                <w:szCs w:val="24"/>
                <w:highlight w:val="none"/>
                <w:lang w:val="en-US" w:eastAsia="zh-CN" w:bidi="ar"/>
              </w:rPr>
              <w:t>对应取值</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eastAsia="zh-CN" w:bidi="ar"/>
              </w:rPr>
              <w:t>（单位：千克/平方米）；</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S</w:t>
            </w:r>
            <w:r>
              <w:rPr>
                <w:rFonts w:hint="eastAsia" w:ascii="Times New Roman" w:hAnsi="Times New Roman" w:eastAsia="宋体" w:cs="Times New Roman"/>
                <w:color w:val="auto"/>
                <w:kern w:val="0"/>
                <w:sz w:val="24"/>
                <w:szCs w:val="24"/>
                <w:highlight w:val="none"/>
                <w:lang w:eastAsia="zh-CN" w:bidi="ar"/>
              </w:rPr>
              <w:t>指堆场占地面积（单位：平方米），</w:t>
            </w:r>
            <w:r>
              <w:rPr>
                <w:rFonts w:hint="eastAsia" w:ascii="Times New Roman" w:hAnsi="Times New Roman" w:eastAsia="宋体" w:cs="Times New Roman"/>
                <w:color w:val="auto"/>
                <w:kern w:val="0"/>
                <w:sz w:val="24"/>
                <w:szCs w:val="24"/>
                <w:highlight w:val="none"/>
                <w:lang w:val="en-US" w:eastAsia="zh-CN" w:bidi="ar"/>
              </w:rPr>
              <w:t>30</w:t>
            </w:r>
            <w:r>
              <w:rPr>
                <w:rFonts w:hint="default" w:ascii="Times New Roman" w:hAnsi="Times New Roman" w:eastAsia="宋体" w:cs="Times New Roman"/>
                <w:color w:val="auto"/>
                <w:kern w:val="0"/>
                <w:sz w:val="24"/>
                <w:szCs w:val="24"/>
                <w:highlight w:val="none"/>
                <w:lang w:val="en-US" w:eastAsia="zh-CN" w:bidi="ar"/>
              </w:rPr>
              <w:t>00m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eastAsia" w:ascii="Times New Roman" w:hAnsi="Times New Roman" w:eastAsia="宋体" w:cs="Times New Roman"/>
                <w:color w:val="auto"/>
                <w:kern w:val="0"/>
                <w:sz w:val="24"/>
                <w:szCs w:val="24"/>
                <w:highlight w:val="none"/>
                <w:lang w:eastAsia="zh-CN" w:bidi="ar"/>
              </w:rPr>
              <w:t>。</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smallCaps w:val="0"/>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颗粒物产生量={1088×</w:t>
            </w:r>
            <w:r>
              <w:rPr>
                <w:rFonts w:hint="default" w:ascii="Times New Roman" w:hAnsi="Times New Roman" w:eastAsia="宋体" w:cs="Times New Roman"/>
                <w:color w:val="auto"/>
                <w:kern w:val="0"/>
                <w:sz w:val="24"/>
                <w:szCs w:val="24"/>
                <w:highlight w:val="none"/>
                <w:lang w:val="en-US" w:eastAsia="zh-CN" w:bidi="ar"/>
              </w:rPr>
              <w:t>25</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0015</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0084</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×30</w:t>
            </w:r>
            <w:r>
              <w:rPr>
                <w:rFonts w:hint="default" w:ascii="Times New Roman" w:hAnsi="Times New Roman" w:eastAsia="宋体" w:cs="Times New Roman"/>
                <w:color w:val="auto"/>
                <w:kern w:val="0"/>
                <w:sz w:val="24"/>
                <w:szCs w:val="24"/>
                <w:highlight w:val="none"/>
                <w:lang w:val="en-US" w:eastAsia="zh-CN" w:bidi="ar"/>
              </w:rPr>
              <w:t>00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10</w:t>
            </w:r>
            <w:r>
              <w:rPr>
                <w:rFonts w:hint="eastAsia" w:ascii="Times New Roman" w:hAnsi="Times New Roman" w:eastAsia="宋体" w:cs="Times New Roman"/>
                <w:color w:val="auto"/>
                <w:kern w:val="0"/>
                <w:sz w:val="24"/>
                <w:szCs w:val="24"/>
                <w:highlight w:val="none"/>
                <w:vertAlign w:val="superscript"/>
                <w:lang w:val="en-US" w:eastAsia="zh-CN" w:bidi="ar"/>
              </w:rPr>
              <w:t>-</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=4.86</w:t>
            </w:r>
            <w:r>
              <w:rPr>
                <w:rFonts w:hint="default" w:ascii="Times New Roman" w:hAnsi="Times New Roman" w:eastAsia="宋体" w:cs="Times New Roman"/>
                <w:color w:val="auto"/>
                <w:kern w:val="0"/>
                <w:sz w:val="24"/>
                <w:szCs w:val="24"/>
                <w:highlight w:val="none"/>
                <w:lang w:val="en-US" w:eastAsia="zh-CN" w:bidi="ar"/>
              </w:rPr>
              <w:t>t</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根据《排放源统计调查产排污核算方法和系数手册》中的《工业源固体物料堆场颗粒物核算系数手册》，本项目砂石料储存的颗粒物排放量核算公式如下：</w:t>
            </w:r>
          </w:p>
          <w:p>
            <w:pPr>
              <w:keepNext w:val="0"/>
              <w:keepLines w:val="0"/>
              <w:pageBreakBefore w:val="0"/>
              <w:kinsoku/>
              <w:wordWrap/>
              <w:overflowPunct/>
              <w:topLinePunct w:val="0"/>
              <w:bidi w:val="0"/>
              <w:adjustRightInd w:val="0"/>
              <w:snapToGrid w:val="0"/>
              <w:spacing w:line="360" w:lineRule="auto"/>
              <w:ind w:left="0" w:leftChars="0" w:right="0" w:rightChars="0" w:firstLine="420" w:firstLineChars="200"/>
              <w:jc w:val="center"/>
              <w:rPr>
                <w:rFonts w:hint="default" w:ascii="Times New Roman" w:hAnsi="Times New Roman" w:eastAsia="宋体" w:cs="Times New Roman"/>
                <w:bCs/>
                <w:color w:val="auto"/>
                <w:kern w:val="2"/>
                <w:sz w:val="21"/>
                <w:szCs w:val="21"/>
                <w:highlight w:val="none"/>
                <w:lang w:val="en-US" w:eastAsia="zh-CN" w:bidi="ar-SA"/>
              </w:rPr>
            </w:pPr>
            <w:r>
              <w:rPr>
                <w:color w:val="auto"/>
                <w:highlight w:val="none"/>
              </w:rPr>
              <w:drawing>
                <wp:inline distT="0" distB="0" distL="114300" distR="114300">
                  <wp:extent cx="3838575" cy="552450"/>
                  <wp:effectExtent l="0" t="0" r="9525" b="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20"/>
                          <a:stretch>
                            <a:fillRect/>
                          </a:stretch>
                        </pic:blipFill>
                        <pic:spPr>
                          <a:xfrm>
                            <a:off x="0" y="0"/>
                            <a:ext cx="3838575" cy="552450"/>
                          </a:xfrm>
                          <a:prstGeom prst="rect">
                            <a:avLst/>
                          </a:prstGeom>
                          <a:noFill/>
                          <a:ln>
                            <a:noFill/>
                          </a:ln>
                        </pic:spPr>
                      </pic:pic>
                    </a:graphicData>
                  </a:graphic>
                </wp:inline>
              </w:drawing>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式中：P 指颗粒物产生量（单位：吨）；</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Uc指颗粒物排放量（单位：吨）； </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C</w:t>
            </w:r>
            <w:r>
              <w:rPr>
                <w:rFonts w:hint="default" w:ascii="Times New Roman" w:hAnsi="Times New Roman" w:eastAsia="宋体" w:cs="Times New Roman"/>
                <w:color w:val="auto"/>
                <w:kern w:val="0"/>
                <w:sz w:val="24"/>
                <w:szCs w:val="24"/>
                <w:highlight w:val="none"/>
                <w:vertAlign w:val="subscript"/>
                <w:lang w:val="en-US" w:eastAsia="zh-CN" w:bidi="ar"/>
              </w:rPr>
              <w:t>m</w:t>
            </w:r>
            <w:r>
              <w:rPr>
                <w:rFonts w:hint="default" w:ascii="Times New Roman" w:hAnsi="Times New Roman" w:eastAsia="宋体" w:cs="Times New Roman"/>
                <w:color w:val="auto"/>
                <w:kern w:val="0"/>
                <w:sz w:val="24"/>
                <w:szCs w:val="24"/>
                <w:highlight w:val="none"/>
                <w:lang w:val="en-US" w:eastAsia="zh-CN" w:bidi="ar"/>
              </w:rPr>
              <w:t xml:space="preserve">指颗粒物控制措施控制效率（单位：%）； </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T</w:t>
            </w:r>
            <w:r>
              <w:rPr>
                <w:rFonts w:hint="default" w:ascii="Times New Roman" w:hAnsi="Times New Roman" w:eastAsia="宋体" w:cs="Times New Roman"/>
                <w:color w:val="auto"/>
                <w:kern w:val="0"/>
                <w:sz w:val="24"/>
                <w:szCs w:val="24"/>
                <w:highlight w:val="none"/>
                <w:vertAlign w:val="subscript"/>
                <w:lang w:val="en-US" w:eastAsia="zh-CN" w:bidi="ar"/>
              </w:rPr>
              <w:t>m</w:t>
            </w:r>
            <w:r>
              <w:rPr>
                <w:rFonts w:hint="default" w:ascii="Times New Roman" w:hAnsi="Times New Roman" w:eastAsia="宋体" w:cs="Times New Roman"/>
                <w:color w:val="auto"/>
                <w:kern w:val="0"/>
                <w:sz w:val="24"/>
                <w:szCs w:val="24"/>
                <w:highlight w:val="none"/>
                <w:lang w:val="en-US" w:eastAsia="zh-CN" w:bidi="ar"/>
              </w:rPr>
              <w:t>指堆场类型控制措施控制效率（单位：%）。</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w:t>
            </w:r>
            <w:r>
              <w:rPr>
                <w:rFonts w:hint="eastAsia" w:ascii="Times New Roman" w:hAnsi="Times New Roman" w:eastAsia="宋体" w:cs="Times New Roman"/>
                <w:color w:val="auto"/>
                <w:kern w:val="0"/>
                <w:sz w:val="24"/>
                <w:szCs w:val="24"/>
                <w:highlight w:val="none"/>
                <w:lang w:val="en-US" w:eastAsia="zh-CN" w:bidi="ar"/>
              </w:rPr>
              <w:t>项目原料</w:t>
            </w:r>
            <w:r>
              <w:rPr>
                <w:rFonts w:hint="default" w:ascii="Times New Roman" w:hAnsi="Times New Roman" w:eastAsia="宋体" w:cs="Times New Roman"/>
                <w:color w:val="auto"/>
                <w:kern w:val="0"/>
                <w:sz w:val="24"/>
                <w:szCs w:val="24"/>
                <w:highlight w:val="none"/>
                <w:lang w:val="en-US" w:eastAsia="zh-CN" w:bidi="ar"/>
              </w:rPr>
              <w:t>堆场</w:t>
            </w:r>
            <w:r>
              <w:rPr>
                <w:rFonts w:hint="eastAsia" w:ascii="Times New Roman" w:hAnsi="Times New Roman" w:eastAsia="宋体" w:cs="Times New Roman"/>
                <w:color w:val="auto"/>
                <w:kern w:val="0"/>
                <w:sz w:val="24"/>
                <w:szCs w:val="24"/>
                <w:highlight w:val="none"/>
                <w:lang w:val="en-US" w:eastAsia="zh-CN" w:bidi="ar"/>
              </w:rPr>
              <w:t>四周设置</w:t>
            </w:r>
            <w:r>
              <w:rPr>
                <w:rFonts w:hint="default" w:ascii="Times New Roman" w:hAnsi="Times New Roman" w:eastAsia="宋体" w:cs="Times New Roman"/>
                <w:color w:val="auto"/>
                <w:kern w:val="0"/>
                <w:sz w:val="24"/>
                <w:szCs w:val="24"/>
                <w:highlight w:val="none"/>
                <w:lang w:val="en-US" w:eastAsia="zh-CN" w:bidi="ar"/>
              </w:rPr>
              <w:t>防风抑尘网</w:t>
            </w:r>
            <w:r>
              <w:rPr>
                <w:rFonts w:hint="eastAsia" w:cs="Times New Roman"/>
                <w:color w:val="auto"/>
                <w:kern w:val="0"/>
                <w:sz w:val="24"/>
                <w:szCs w:val="24"/>
                <w:highlight w:val="none"/>
                <w:lang w:val="en-US" w:eastAsia="zh-CN" w:bidi="ar"/>
              </w:rPr>
              <w:t>和挡板</w:t>
            </w:r>
            <w:r>
              <w:rPr>
                <w:rFonts w:hint="default" w:ascii="Times New Roman" w:hAnsi="Times New Roman" w:eastAsia="宋体" w:cs="Times New Roman"/>
                <w:color w:val="auto"/>
                <w:kern w:val="0"/>
                <w:sz w:val="24"/>
                <w:szCs w:val="24"/>
                <w:highlight w:val="none"/>
                <w:lang w:val="en-US" w:eastAsia="zh-CN" w:bidi="ar"/>
              </w:rPr>
              <w:t>，并洒水抑尘扬尘</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依据《工业源固体物料堆场颗粒物核算系数手册》附录5</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本项目堆场类型属于半敞开式</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因此T</w:t>
            </w:r>
            <w:r>
              <w:rPr>
                <w:rFonts w:hint="default" w:ascii="Times New Roman" w:hAnsi="Times New Roman" w:eastAsia="宋体" w:cs="Times New Roman"/>
                <w:color w:val="auto"/>
                <w:kern w:val="0"/>
                <w:sz w:val="24"/>
                <w:szCs w:val="24"/>
                <w:highlight w:val="none"/>
                <w:vertAlign w:val="subscript"/>
                <w:lang w:val="en-US" w:eastAsia="zh-CN" w:bidi="ar"/>
              </w:rPr>
              <w:t>m</w:t>
            </w:r>
            <w:r>
              <w:rPr>
                <w:rFonts w:hint="default" w:ascii="Times New Roman" w:hAnsi="Times New Roman" w:eastAsia="宋体" w:cs="Times New Roman"/>
                <w:color w:val="auto"/>
                <w:kern w:val="0"/>
                <w:sz w:val="24"/>
                <w:szCs w:val="24"/>
                <w:highlight w:val="none"/>
                <w:lang w:val="en-US" w:eastAsia="zh-CN" w:bidi="ar"/>
              </w:rPr>
              <w:t>取值为60%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C</w:t>
            </w:r>
            <w:r>
              <w:rPr>
                <w:rFonts w:hint="default" w:ascii="Times New Roman" w:hAnsi="Times New Roman" w:eastAsia="宋体" w:cs="Times New Roman"/>
                <w:color w:val="auto"/>
                <w:kern w:val="0"/>
                <w:sz w:val="24"/>
                <w:szCs w:val="24"/>
                <w:highlight w:val="none"/>
                <w:vertAlign w:val="subscript"/>
                <w:lang w:val="en-US" w:eastAsia="zh-CN" w:bidi="ar"/>
              </w:rPr>
              <w:t>m</w:t>
            </w:r>
            <w:r>
              <w:rPr>
                <w:rFonts w:hint="default" w:ascii="Times New Roman" w:hAnsi="Times New Roman" w:eastAsia="宋体" w:cs="Times New Roman"/>
                <w:color w:val="auto"/>
                <w:kern w:val="0"/>
                <w:sz w:val="24"/>
                <w:szCs w:val="24"/>
                <w:highlight w:val="none"/>
                <w:lang w:val="en-US" w:eastAsia="zh-CN" w:bidi="ar"/>
              </w:rPr>
              <w:t>取值为74%。经计算，本项目砂堆场仓储废气颗粒物（包括卸料扬尘和风蚀扬尘）排放总量为</w:t>
            </w:r>
            <w:r>
              <w:rPr>
                <w:rFonts w:hint="eastAsia" w:cs="Times New Roman"/>
                <w:color w:val="auto"/>
                <w:kern w:val="0"/>
                <w:sz w:val="24"/>
                <w:szCs w:val="24"/>
                <w:highlight w:val="none"/>
                <w:lang w:val="en-US" w:eastAsia="zh-CN" w:bidi="ar"/>
              </w:rPr>
              <w:t>0.51</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（堆存时间</w:t>
            </w:r>
            <w:r>
              <w:rPr>
                <w:rFonts w:hint="eastAsia" w:cs="Times New Roman"/>
                <w:color w:val="auto"/>
                <w:kern w:val="0"/>
                <w:sz w:val="24"/>
                <w:szCs w:val="24"/>
                <w:highlight w:val="none"/>
                <w:lang w:val="en-US" w:eastAsia="zh-CN" w:bidi="ar"/>
              </w:rPr>
              <w:t>10</w:t>
            </w:r>
            <w:r>
              <w:rPr>
                <w:rFonts w:hint="default" w:ascii="Times New Roman" w:hAnsi="Times New Roman" w:eastAsia="宋体" w:cs="Times New Roman"/>
                <w:color w:val="auto"/>
                <w:kern w:val="0"/>
                <w:sz w:val="24"/>
                <w:szCs w:val="24"/>
                <w:highlight w:val="none"/>
                <w:lang w:val="en-US" w:eastAsia="zh-CN" w:bidi="ar"/>
              </w:rPr>
              <w:t>0天，每天24h</w:t>
            </w:r>
            <w:r>
              <w:rPr>
                <w:rFonts w:hint="eastAsia" w:ascii="Times New Roman" w:hAnsi="Times New Roman" w:eastAsia="宋体" w:cs="Times New Roman"/>
                <w:color w:val="auto"/>
                <w:kern w:val="0"/>
                <w:sz w:val="24"/>
                <w:szCs w:val="24"/>
                <w:highlight w:val="none"/>
                <w:lang w:val="en-US" w:eastAsia="zh-CN" w:bidi="ar"/>
              </w:rPr>
              <w:t>）则本项目砂石存储</w:t>
            </w:r>
            <w:r>
              <w:rPr>
                <w:rFonts w:hint="default" w:ascii="Times New Roman" w:hAnsi="Times New Roman" w:eastAsia="宋体" w:cs="Times New Roman"/>
                <w:color w:val="auto"/>
                <w:kern w:val="0"/>
                <w:sz w:val="24"/>
                <w:szCs w:val="24"/>
                <w:highlight w:val="none"/>
                <w:lang w:val="en-US" w:eastAsia="zh-CN" w:bidi="ar"/>
              </w:rPr>
              <w:t>废气颗粒物（包括卸料扬尘和风蚀扬尘）排放速率为</w:t>
            </w:r>
            <w:r>
              <w:rPr>
                <w:rFonts w:hint="eastAsia" w:cs="Times New Roman"/>
                <w:color w:val="auto"/>
                <w:kern w:val="0"/>
                <w:sz w:val="24"/>
                <w:szCs w:val="24"/>
                <w:highlight w:val="none"/>
                <w:lang w:val="en-US" w:eastAsia="zh-CN" w:bidi="ar"/>
              </w:rPr>
              <w:t>0.14</w:t>
            </w:r>
            <w:r>
              <w:rPr>
                <w:rFonts w:hint="default" w:ascii="Times New Roman" w:hAnsi="Times New Roman" w:eastAsia="宋体" w:cs="Times New Roman"/>
                <w:color w:val="auto"/>
                <w:kern w:val="0"/>
                <w:sz w:val="24"/>
                <w:szCs w:val="24"/>
                <w:highlight w:val="none"/>
                <w:lang w:val="en-US" w:eastAsia="zh-CN" w:bidi="ar"/>
              </w:rPr>
              <w:t>kg/h。</w:t>
            </w:r>
          </w:p>
          <w:p>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水泥</w:t>
            </w:r>
            <w:r>
              <w:rPr>
                <w:rFonts w:hint="eastAsia" w:ascii="Times New Roman" w:hAnsi="Times New Roman" w:eastAsia="宋体" w:cs="Times New Roman"/>
                <w:color w:val="auto"/>
                <w:kern w:val="0"/>
                <w:sz w:val="24"/>
                <w:szCs w:val="24"/>
                <w:highlight w:val="none"/>
                <w:lang w:val="en-US" w:eastAsia="zh-CN" w:bidi="ar"/>
              </w:rPr>
              <w:t>筒仓粉尘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本项目原料水泥用密封的专用运输车运至厂内，本项目设置</w:t>
            </w:r>
            <w:r>
              <w:rPr>
                <w:rFonts w:hint="eastAsia"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个300t的水泥筒仓</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通过气泵将水泥沿管道输送到筒仓内，为气力运输，筒仓顶部排气孔将产生颗粒物。</w:t>
            </w:r>
            <w:r>
              <w:rPr>
                <w:rFonts w:hint="eastAsia" w:ascii="Times New Roman" w:hAnsi="Times New Roman" w:eastAsia="宋体" w:cs="Times New Roman"/>
                <w:color w:val="auto"/>
                <w:kern w:val="0"/>
                <w:sz w:val="24"/>
                <w:szCs w:val="24"/>
                <w:highlight w:val="none"/>
                <w:lang w:val="en-US" w:eastAsia="zh-CN" w:bidi="ar"/>
              </w:rPr>
              <w:t>颗粒物产生量</w:t>
            </w:r>
            <w:r>
              <w:rPr>
                <w:rFonts w:hint="default" w:ascii="Times New Roman" w:hAnsi="Times New Roman" w:eastAsia="宋体" w:cs="Times New Roman"/>
                <w:color w:val="auto"/>
                <w:kern w:val="0"/>
                <w:sz w:val="24"/>
                <w:szCs w:val="24"/>
                <w:highlight w:val="none"/>
                <w:lang w:val="en-US" w:eastAsia="zh-CN" w:bidi="ar"/>
              </w:rPr>
              <w:t>参</w:t>
            </w:r>
            <w:r>
              <w:rPr>
                <w:rFonts w:hint="eastAsia" w:ascii="Times New Roman" w:hAnsi="Times New Roman" w:eastAsia="宋体" w:cs="Times New Roman"/>
                <w:color w:val="auto"/>
                <w:kern w:val="0"/>
                <w:sz w:val="24"/>
                <w:szCs w:val="24"/>
                <w:highlight w:val="none"/>
                <w:lang w:val="en-US" w:eastAsia="zh-CN" w:bidi="ar"/>
              </w:rPr>
              <w:t>照</w:t>
            </w:r>
            <w:r>
              <w:rPr>
                <w:rFonts w:hint="default" w:ascii="Times New Roman" w:hAnsi="Times New Roman" w:eastAsia="宋体" w:cs="Times New Roman"/>
                <w:color w:val="auto"/>
                <w:kern w:val="0"/>
                <w:sz w:val="24"/>
                <w:szCs w:val="24"/>
                <w:highlight w:val="none"/>
                <w:lang w:val="en-US" w:eastAsia="zh-CN" w:bidi="ar"/>
              </w:rPr>
              <w:t>《排放源统计调查产排污核算方法和系数手册》(生态环境部公告2021年第24号)中3021水泥制品制造(含3022砼结构构件、3029其他水泥类似制品制造)行业</w:t>
            </w:r>
            <w:r>
              <w:rPr>
                <w:rFonts w:hint="eastAsia" w:ascii="Times New Roman" w:hAnsi="Times New Roman" w:eastAsia="宋体" w:cs="Times New Roman"/>
                <w:color w:val="auto"/>
                <w:kern w:val="0"/>
                <w:sz w:val="24"/>
                <w:szCs w:val="24"/>
                <w:highlight w:val="none"/>
                <w:lang w:val="en-US" w:eastAsia="zh-CN" w:bidi="ar"/>
              </w:rPr>
              <w:t>混凝土</w:t>
            </w:r>
            <w:r>
              <w:rPr>
                <w:rFonts w:hint="default" w:ascii="Times New Roman" w:hAnsi="Times New Roman" w:eastAsia="宋体" w:cs="Times New Roman"/>
                <w:color w:val="auto"/>
                <w:kern w:val="0"/>
                <w:sz w:val="24"/>
                <w:szCs w:val="24"/>
                <w:highlight w:val="none"/>
                <w:lang w:val="en-US" w:eastAsia="zh-CN" w:bidi="ar"/>
              </w:rPr>
              <w:t>制品物料输送储存产污系数为0.12kg/t-产品</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本项目每个筒仓顶布设置1套脉冲式袋式除尘器，除尘效率为99</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水泥筒仓加料时加料车会产生负压，单车最大运输量按</w:t>
            </w:r>
            <w:r>
              <w:rPr>
                <w:rFonts w:hint="default" w:ascii="Times New Roman" w:hAnsi="Times New Roman" w:eastAsia="宋体" w:cs="Times New Roman"/>
                <w:color w:val="auto"/>
                <w:kern w:val="0"/>
                <w:sz w:val="24"/>
                <w:szCs w:val="24"/>
                <w:highlight w:val="none"/>
                <w:lang w:val="en-US" w:eastAsia="zh-CN" w:bidi="ar"/>
              </w:rPr>
              <w:t>30t/</w:t>
            </w:r>
            <w:r>
              <w:rPr>
                <w:rFonts w:hint="eastAsia" w:ascii="Times New Roman" w:hAnsi="Times New Roman" w:eastAsia="宋体" w:cs="Times New Roman"/>
                <w:color w:val="auto"/>
                <w:kern w:val="0"/>
                <w:sz w:val="24"/>
                <w:szCs w:val="24"/>
                <w:highlight w:val="none"/>
                <w:lang w:val="en-US" w:eastAsia="zh-CN" w:bidi="ar"/>
              </w:rPr>
              <w:t>车，每车充装时间为</w:t>
            </w:r>
            <w:r>
              <w:rPr>
                <w:rFonts w:hint="default" w:ascii="Times New Roman" w:hAnsi="Times New Roman" w:eastAsia="宋体" w:cs="Times New Roman"/>
                <w:color w:val="auto"/>
                <w:kern w:val="0"/>
                <w:sz w:val="24"/>
                <w:szCs w:val="24"/>
                <w:highlight w:val="none"/>
                <w:lang w:val="en-US" w:eastAsia="zh-CN" w:bidi="ar"/>
              </w:rPr>
              <w:t>45min</w:t>
            </w:r>
            <w:r>
              <w:rPr>
                <w:rFonts w:hint="eastAsia" w:ascii="Times New Roman" w:hAnsi="Times New Roman" w:eastAsia="宋体" w:cs="Times New Roman"/>
                <w:color w:val="auto"/>
                <w:kern w:val="0"/>
                <w:sz w:val="24"/>
                <w:szCs w:val="24"/>
                <w:highlight w:val="none"/>
                <w:lang w:val="en-US" w:eastAsia="zh-CN" w:bidi="ar"/>
              </w:rPr>
              <w:t>。本项目水泥的年用量为</w:t>
            </w:r>
            <w:r>
              <w:rPr>
                <w:rFonts w:hint="eastAsia" w:cs="Times New Roman"/>
                <w:color w:val="auto"/>
                <w:kern w:val="0"/>
                <w:sz w:val="24"/>
                <w:szCs w:val="24"/>
                <w:highlight w:val="none"/>
                <w:lang w:val="en-US" w:eastAsia="zh-CN" w:bidi="ar"/>
              </w:rPr>
              <w:t>7700</w:t>
            </w:r>
            <w:r>
              <w:rPr>
                <w:rFonts w:hint="default" w:ascii="Times New Roman" w:hAnsi="Times New Roman" w:eastAsia="宋体" w:cs="Times New Roman"/>
                <w:color w:val="auto"/>
                <w:kern w:val="0"/>
                <w:sz w:val="24"/>
                <w:szCs w:val="24"/>
                <w:highlight w:val="none"/>
                <w:lang w:val="en-US" w:eastAsia="zh-CN" w:bidi="ar"/>
              </w:rPr>
              <w:t>t</w:t>
            </w:r>
            <w:r>
              <w:rPr>
                <w:rFonts w:hint="eastAsia" w:ascii="Times New Roman" w:hAnsi="Times New Roman" w:eastAsia="宋体" w:cs="Times New Roman"/>
                <w:color w:val="auto"/>
                <w:kern w:val="0"/>
                <w:sz w:val="24"/>
                <w:szCs w:val="24"/>
                <w:highlight w:val="none"/>
                <w:lang w:val="en-US" w:eastAsia="zh-CN" w:bidi="ar"/>
              </w:rPr>
              <w:t>，共建设</w:t>
            </w:r>
            <w:r>
              <w:rPr>
                <w:rFonts w:hint="eastAsia" w:cs="Times New Roman"/>
                <w:color w:val="auto"/>
                <w:kern w:val="0"/>
                <w:sz w:val="24"/>
                <w:szCs w:val="24"/>
                <w:highlight w:val="none"/>
                <w:lang w:val="en-US" w:eastAsia="zh-CN" w:bidi="ar"/>
              </w:rPr>
              <w:t>1</w:t>
            </w:r>
            <w:r>
              <w:rPr>
                <w:rFonts w:hint="eastAsia" w:ascii="Times New Roman" w:hAnsi="Times New Roman" w:eastAsia="宋体" w:cs="Times New Roman"/>
                <w:color w:val="auto"/>
                <w:kern w:val="0"/>
                <w:sz w:val="24"/>
                <w:szCs w:val="24"/>
                <w:highlight w:val="none"/>
                <w:lang w:val="en-US" w:eastAsia="zh-CN" w:bidi="ar"/>
              </w:rPr>
              <w:t>座水泥筒仓，则每座筒仓的年充装时间为</w:t>
            </w:r>
            <w:r>
              <w:rPr>
                <w:rFonts w:hint="eastAsia" w:cs="Times New Roman"/>
                <w:color w:val="auto"/>
                <w:kern w:val="0"/>
                <w:sz w:val="24"/>
                <w:szCs w:val="24"/>
                <w:highlight w:val="none"/>
                <w:lang w:val="en-US" w:eastAsia="zh-CN" w:bidi="ar"/>
              </w:rPr>
              <w:t>192.5</w:t>
            </w:r>
            <w:r>
              <w:rPr>
                <w:rFonts w:hint="default" w:ascii="Times New Roman" w:hAnsi="Times New Roman" w:eastAsia="宋体" w:cs="Times New Roman"/>
                <w:color w:val="auto"/>
                <w:kern w:val="0"/>
                <w:sz w:val="24"/>
                <w:szCs w:val="24"/>
                <w:highlight w:val="none"/>
                <w:lang w:val="en-US" w:eastAsia="zh-CN" w:bidi="ar"/>
              </w:rPr>
              <w:t>h</w:t>
            </w:r>
            <w:r>
              <w:rPr>
                <w:rFonts w:hint="eastAsia" w:ascii="Times New Roman" w:hAnsi="Times New Roman" w:eastAsia="宋体" w:cs="Times New Roman"/>
                <w:color w:val="auto"/>
                <w:kern w:val="0"/>
                <w:sz w:val="24"/>
                <w:szCs w:val="24"/>
                <w:highlight w:val="none"/>
                <w:lang w:val="en-US" w:eastAsia="zh-CN" w:bidi="ar"/>
              </w:rPr>
              <w:t xml:space="preserve">。水泥筒仓排放颗粒物仅在水泥筒仓进料呼吸时进行排放，水泥筒仓的粉尘产生量为 </w:t>
            </w:r>
            <w:r>
              <w:rPr>
                <w:rFonts w:hint="eastAsia" w:cs="Times New Roman"/>
                <w:color w:val="auto"/>
                <w:kern w:val="0"/>
                <w:sz w:val="24"/>
                <w:szCs w:val="24"/>
                <w:highlight w:val="none"/>
                <w:lang w:val="en-US" w:eastAsia="zh-CN" w:bidi="ar"/>
              </w:rPr>
              <w:t>0.924</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4.8</w:t>
            </w:r>
            <w:r>
              <w:rPr>
                <w:rFonts w:hint="default" w:ascii="Times New Roman" w:hAnsi="Times New Roman" w:eastAsia="宋体" w:cs="Times New Roman"/>
                <w:color w:val="auto"/>
                <w:kern w:val="0"/>
                <w:sz w:val="24"/>
                <w:szCs w:val="24"/>
                <w:highlight w:val="none"/>
                <w:lang w:val="en-US" w:eastAsia="zh-CN" w:bidi="ar"/>
              </w:rPr>
              <w:t>kg/h</w:t>
            </w:r>
            <w:r>
              <w:rPr>
                <w:rFonts w:hint="eastAsia" w:ascii="Times New Roman" w:hAnsi="Times New Roman" w:eastAsia="宋体" w:cs="Times New Roman"/>
                <w:color w:val="auto"/>
                <w:kern w:val="0"/>
                <w:sz w:val="24"/>
                <w:szCs w:val="24"/>
                <w:highlight w:val="none"/>
                <w:lang w:val="en-US" w:eastAsia="zh-CN" w:bidi="ar"/>
              </w:rPr>
              <w:t>），经筒仓自带的布袋除尘器</w:t>
            </w:r>
            <w:r>
              <w:rPr>
                <w:rFonts w:hint="eastAsia" w:cs="Times New Roman"/>
                <w:b w:val="0"/>
                <w:bCs/>
                <w:color w:val="auto"/>
                <w:kern w:val="2"/>
                <w:sz w:val="24"/>
                <w:szCs w:val="24"/>
                <w:highlight w:val="none"/>
                <w:lang w:val="en-US" w:eastAsia="zh-CN" w:bidi="ar-SA"/>
              </w:rPr>
              <w:t>（无动力除尘）</w:t>
            </w:r>
            <w:r>
              <w:rPr>
                <w:rFonts w:hint="eastAsia" w:ascii="Times New Roman" w:hAnsi="Times New Roman" w:eastAsia="宋体" w:cs="Times New Roman"/>
                <w:color w:val="auto"/>
                <w:kern w:val="0"/>
                <w:sz w:val="24"/>
                <w:szCs w:val="24"/>
                <w:highlight w:val="none"/>
                <w:lang w:val="en-US" w:eastAsia="zh-CN" w:bidi="ar"/>
              </w:rPr>
              <w:t>处理后通过罐顶无组织排放，处理效率</w:t>
            </w:r>
            <w:r>
              <w:rPr>
                <w:rFonts w:hint="default" w:ascii="Times New Roman" w:hAnsi="Times New Roman" w:eastAsia="宋体" w:cs="Times New Roman"/>
                <w:color w:val="auto"/>
                <w:kern w:val="0"/>
                <w:sz w:val="24"/>
                <w:szCs w:val="24"/>
                <w:highlight w:val="none"/>
                <w:lang w:val="en-US" w:eastAsia="zh-CN" w:bidi="ar"/>
              </w:rPr>
              <w:t>99</w:t>
            </w:r>
            <w:r>
              <w:rPr>
                <w:rFonts w:hint="eastAsia"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，则水泥筒仓粉尘排放量为</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default" w:ascii="Times New Roman" w:hAnsi="Times New Roman"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24</w:t>
            </w:r>
            <w:r>
              <w:rPr>
                <w:rFonts w:hint="default" w:ascii="Times New Roman" w:hAnsi="Times New Roman" w:eastAsia="宋体" w:cs="Times New Roman"/>
                <w:color w:val="auto"/>
                <w:kern w:val="0"/>
                <w:sz w:val="24"/>
                <w:szCs w:val="24"/>
                <w:highlight w:val="none"/>
                <w:lang w:val="en-US" w:eastAsia="zh-CN" w:bidi="ar"/>
              </w:rPr>
              <w:t>kg/h</w:t>
            </w:r>
            <w:r>
              <w:rPr>
                <w:rFonts w:hint="eastAsia" w:ascii="Times New Roman" w:hAnsi="Times New Roman" w:eastAsia="宋体" w:cs="Times New Roman"/>
                <w:color w:val="auto"/>
                <w:kern w:val="0"/>
                <w:sz w:val="24"/>
                <w:szCs w:val="24"/>
                <w:highlight w:val="none"/>
                <w:lang w:val="en-US" w:eastAsia="zh-CN" w:bidi="ar"/>
              </w:rPr>
              <w:t>）。</w:t>
            </w:r>
          </w:p>
          <w:p>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4</w:t>
            </w:r>
            <w:r>
              <w:rPr>
                <w:rFonts w:hint="eastAsia" w:ascii="Times New Roman" w:hAnsi="Times New Roman" w:eastAsia="宋体" w:cs="Times New Roman"/>
                <w:b w:val="0"/>
                <w:bCs/>
                <w:color w:val="auto"/>
                <w:kern w:val="2"/>
                <w:sz w:val="24"/>
                <w:szCs w:val="24"/>
                <w:highlight w:val="none"/>
                <w:lang w:val="en-US" w:eastAsia="zh-CN" w:bidi="ar-SA"/>
              </w:rPr>
              <w:t>）粉煤灰筒仓粉尘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本项目原料</w:t>
            </w:r>
            <w:r>
              <w:rPr>
                <w:rFonts w:hint="eastAsia" w:ascii="Times New Roman" w:hAnsi="Times New Roman" w:eastAsia="宋体" w:cs="Times New Roman"/>
                <w:b w:val="0"/>
                <w:bCs/>
                <w:color w:val="auto"/>
                <w:kern w:val="2"/>
                <w:sz w:val="24"/>
                <w:szCs w:val="24"/>
                <w:highlight w:val="none"/>
                <w:lang w:val="en-US" w:eastAsia="zh-CN" w:bidi="ar-SA"/>
              </w:rPr>
              <w:t>粉煤灰</w:t>
            </w:r>
            <w:r>
              <w:rPr>
                <w:rFonts w:hint="default" w:ascii="Times New Roman" w:hAnsi="Times New Roman" w:eastAsia="宋体" w:cs="Times New Roman"/>
                <w:b w:val="0"/>
                <w:bCs/>
                <w:color w:val="auto"/>
                <w:kern w:val="2"/>
                <w:sz w:val="24"/>
                <w:szCs w:val="24"/>
                <w:highlight w:val="none"/>
                <w:lang w:val="en-US" w:eastAsia="zh-CN" w:bidi="ar-SA"/>
              </w:rPr>
              <w:t>用密封的专用运输车运至厂内，本项目设置1个</w:t>
            </w:r>
            <w:r>
              <w:rPr>
                <w:rFonts w:hint="eastAsia" w:cs="Times New Roman"/>
                <w:b w:val="0"/>
                <w:bCs/>
                <w:color w:val="auto"/>
                <w:kern w:val="2"/>
                <w:sz w:val="24"/>
                <w:szCs w:val="24"/>
                <w:highlight w:val="none"/>
                <w:lang w:val="en-US" w:eastAsia="zh-CN" w:bidi="ar-SA"/>
              </w:rPr>
              <w:t>1</w:t>
            </w:r>
            <w:r>
              <w:rPr>
                <w:rFonts w:hint="default" w:ascii="Times New Roman" w:hAnsi="Times New Roman" w:eastAsia="宋体" w:cs="Times New Roman"/>
                <w:b w:val="0"/>
                <w:bCs/>
                <w:color w:val="auto"/>
                <w:kern w:val="2"/>
                <w:sz w:val="24"/>
                <w:szCs w:val="24"/>
                <w:highlight w:val="none"/>
                <w:lang w:val="en-US" w:eastAsia="zh-CN" w:bidi="ar-SA"/>
              </w:rPr>
              <w:t>00t的</w:t>
            </w:r>
            <w:r>
              <w:rPr>
                <w:rFonts w:hint="eastAsia" w:ascii="Times New Roman" w:hAnsi="Times New Roman" w:eastAsia="宋体" w:cs="Times New Roman"/>
                <w:b w:val="0"/>
                <w:bCs/>
                <w:color w:val="auto"/>
                <w:kern w:val="2"/>
                <w:sz w:val="24"/>
                <w:szCs w:val="24"/>
                <w:highlight w:val="none"/>
                <w:lang w:val="en-US" w:eastAsia="zh-CN" w:bidi="ar-SA"/>
              </w:rPr>
              <w:t>粉煤灰</w:t>
            </w:r>
            <w:r>
              <w:rPr>
                <w:rFonts w:hint="default" w:ascii="Times New Roman" w:hAnsi="Times New Roman" w:eastAsia="宋体" w:cs="Times New Roman"/>
                <w:b w:val="0"/>
                <w:bCs/>
                <w:color w:val="auto"/>
                <w:kern w:val="2"/>
                <w:sz w:val="24"/>
                <w:szCs w:val="24"/>
                <w:highlight w:val="none"/>
                <w:lang w:val="en-US" w:eastAsia="zh-CN" w:bidi="ar-SA"/>
              </w:rPr>
              <w:t>筒仓</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通过气泵将</w:t>
            </w:r>
            <w:r>
              <w:rPr>
                <w:rFonts w:hint="eastAsia" w:ascii="Times New Roman" w:hAnsi="Times New Roman" w:eastAsia="宋体" w:cs="Times New Roman"/>
                <w:b w:val="0"/>
                <w:bCs/>
                <w:color w:val="auto"/>
                <w:kern w:val="2"/>
                <w:sz w:val="24"/>
                <w:szCs w:val="24"/>
                <w:highlight w:val="none"/>
                <w:lang w:val="en-US" w:eastAsia="zh-CN" w:bidi="ar-SA"/>
              </w:rPr>
              <w:t>粉煤灰</w:t>
            </w:r>
            <w:r>
              <w:rPr>
                <w:rFonts w:hint="default" w:ascii="Times New Roman" w:hAnsi="Times New Roman" w:eastAsia="宋体" w:cs="Times New Roman"/>
                <w:b w:val="0"/>
                <w:bCs/>
                <w:color w:val="auto"/>
                <w:kern w:val="2"/>
                <w:sz w:val="24"/>
                <w:szCs w:val="24"/>
                <w:highlight w:val="none"/>
                <w:lang w:val="en-US" w:eastAsia="zh-CN" w:bidi="ar-SA"/>
              </w:rPr>
              <w:t>沿管道输送到筒仓内，为气力运输，筒仓顶部排气孔将产生颗粒物。</w:t>
            </w:r>
            <w:r>
              <w:rPr>
                <w:rFonts w:hint="eastAsia" w:ascii="Times New Roman" w:hAnsi="Times New Roman" w:eastAsia="宋体" w:cs="Times New Roman"/>
                <w:b w:val="0"/>
                <w:bCs/>
                <w:color w:val="auto"/>
                <w:kern w:val="2"/>
                <w:sz w:val="24"/>
                <w:szCs w:val="24"/>
                <w:highlight w:val="none"/>
                <w:lang w:val="en-US" w:eastAsia="zh-CN" w:bidi="ar-SA"/>
              </w:rPr>
              <w:t>颗粒物产生量</w:t>
            </w:r>
            <w:r>
              <w:rPr>
                <w:rFonts w:hint="default" w:ascii="Times New Roman" w:hAnsi="Times New Roman" w:eastAsia="宋体" w:cs="Times New Roman"/>
                <w:color w:val="auto"/>
                <w:kern w:val="0"/>
                <w:sz w:val="24"/>
                <w:szCs w:val="24"/>
                <w:highlight w:val="none"/>
                <w:lang w:val="en-US" w:eastAsia="zh-CN" w:bidi="ar"/>
              </w:rPr>
              <w:t>参</w:t>
            </w:r>
            <w:r>
              <w:rPr>
                <w:rFonts w:hint="eastAsia" w:ascii="Times New Roman" w:hAnsi="Times New Roman" w:eastAsia="宋体" w:cs="Times New Roman"/>
                <w:color w:val="auto"/>
                <w:kern w:val="0"/>
                <w:sz w:val="24"/>
                <w:szCs w:val="24"/>
                <w:highlight w:val="none"/>
                <w:lang w:val="en-US" w:eastAsia="zh-CN" w:bidi="ar"/>
              </w:rPr>
              <w:t>照</w:t>
            </w:r>
            <w:r>
              <w:rPr>
                <w:rFonts w:hint="default" w:ascii="Times New Roman" w:hAnsi="Times New Roman" w:eastAsia="宋体" w:cs="Times New Roman"/>
                <w:color w:val="auto"/>
                <w:kern w:val="0"/>
                <w:sz w:val="24"/>
                <w:szCs w:val="24"/>
                <w:highlight w:val="none"/>
                <w:lang w:val="en-US" w:eastAsia="zh-CN" w:bidi="ar"/>
              </w:rPr>
              <w:t>《排放源统计调查产排污核算方法和系数手册》(生态环境部公告2021年第24号)中3021水泥制品制造(含3022砼结构构件、3029其他水泥类似制品制造)行业</w:t>
            </w:r>
            <w:r>
              <w:rPr>
                <w:rFonts w:hint="eastAsia" w:ascii="Times New Roman" w:hAnsi="Times New Roman" w:eastAsia="宋体" w:cs="Times New Roman"/>
                <w:color w:val="auto"/>
                <w:kern w:val="0"/>
                <w:sz w:val="24"/>
                <w:szCs w:val="24"/>
                <w:highlight w:val="none"/>
                <w:lang w:val="en-US" w:eastAsia="zh-CN" w:bidi="ar"/>
              </w:rPr>
              <w:t>混凝土</w:t>
            </w:r>
            <w:r>
              <w:rPr>
                <w:rFonts w:hint="default" w:ascii="Times New Roman" w:hAnsi="Times New Roman" w:eastAsia="宋体" w:cs="Times New Roman"/>
                <w:color w:val="auto"/>
                <w:kern w:val="0"/>
                <w:sz w:val="24"/>
                <w:szCs w:val="24"/>
                <w:highlight w:val="none"/>
                <w:lang w:val="en-US" w:eastAsia="zh-CN" w:bidi="ar"/>
              </w:rPr>
              <w:t>制品物料输送储存产污系数为0.12kg/t-产品</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本项目</w:t>
            </w:r>
            <w:r>
              <w:rPr>
                <w:rFonts w:hint="eastAsia" w:ascii="Times New Roman" w:hAnsi="Times New Roman" w:eastAsia="宋体" w:cs="Times New Roman"/>
                <w:b w:val="0"/>
                <w:bCs/>
                <w:color w:val="auto"/>
                <w:kern w:val="2"/>
                <w:sz w:val="24"/>
                <w:szCs w:val="24"/>
                <w:highlight w:val="none"/>
                <w:lang w:val="en-US" w:eastAsia="zh-CN" w:bidi="ar-SA"/>
              </w:rPr>
              <w:t>粉煤灰</w:t>
            </w:r>
            <w:r>
              <w:rPr>
                <w:rFonts w:hint="default" w:ascii="Times New Roman" w:hAnsi="Times New Roman" w:eastAsia="宋体" w:cs="Times New Roman"/>
                <w:b w:val="0"/>
                <w:bCs/>
                <w:color w:val="auto"/>
                <w:kern w:val="2"/>
                <w:sz w:val="24"/>
                <w:szCs w:val="24"/>
                <w:highlight w:val="none"/>
                <w:lang w:val="en-US" w:eastAsia="zh-CN" w:bidi="ar-SA"/>
              </w:rPr>
              <w:t>筒仓顶布设置1套脉冲式袋式除尘器，除尘效率为99</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w:t>
            </w:r>
          </w:p>
          <w:p>
            <w:pPr>
              <w:pStyle w:val="130"/>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粉煤灰筒仓加料时加料车会产生负压，单车最大运输量按</w:t>
            </w:r>
            <w:r>
              <w:rPr>
                <w:rFonts w:hint="default" w:ascii="Times New Roman" w:hAnsi="Times New Roman" w:eastAsia="宋体" w:cs="Times New Roman"/>
                <w:b w:val="0"/>
                <w:bCs/>
                <w:color w:val="auto"/>
                <w:kern w:val="2"/>
                <w:sz w:val="24"/>
                <w:szCs w:val="24"/>
                <w:highlight w:val="none"/>
                <w:lang w:val="en-US" w:eastAsia="zh-CN" w:bidi="ar-SA"/>
              </w:rPr>
              <w:t>30t/</w:t>
            </w:r>
            <w:r>
              <w:rPr>
                <w:rFonts w:hint="eastAsia" w:ascii="Times New Roman" w:hAnsi="Times New Roman" w:eastAsia="宋体" w:cs="Times New Roman"/>
                <w:b w:val="0"/>
                <w:bCs/>
                <w:color w:val="auto"/>
                <w:kern w:val="2"/>
                <w:sz w:val="24"/>
                <w:szCs w:val="24"/>
                <w:highlight w:val="none"/>
                <w:lang w:val="en-US" w:eastAsia="zh-CN" w:bidi="ar-SA"/>
              </w:rPr>
              <w:t>车，每车充装时间为</w:t>
            </w:r>
            <w:r>
              <w:rPr>
                <w:rFonts w:hint="default" w:ascii="Times New Roman" w:hAnsi="Times New Roman" w:eastAsia="宋体" w:cs="Times New Roman"/>
                <w:b w:val="0"/>
                <w:bCs/>
                <w:color w:val="auto"/>
                <w:kern w:val="2"/>
                <w:sz w:val="24"/>
                <w:szCs w:val="24"/>
                <w:highlight w:val="none"/>
                <w:lang w:val="en-US" w:eastAsia="zh-CN" w:bidi="ar-SA"/>
              </w:rPr>
              <w:t>45min</w:t>
            </w:r>
            <w:r>
              <w:rPr>
                <w:rFonts w:hint="eastAsia" w:ascii="Times New Roman" w:hAnsi="Times New Roman" w:eastAsia="宋体" w:cs="Times New Roman"/>
                <w:b w:val="0"/>
                <w:bCs/>
                <w:color w:val="auto"/>
                <w:kern w:val="2"/>
                <w:sz w:val="24"/>
                <w:szCs w:val="24"/>
                <w:highlight w:val="none"/>
                <w:lang w:val="en-US" w:eastAsia="zh-CN" w:bidi="ar-SA"/>
              </w:rPr>
              <w:t>。本项目粉煤灰的年用量为</w:t>
            </w:r>
            <w:r>
              <w:rPr>
                <w:rFonts w:hint="eastAsia" w:cs="Times New Roman"/>
                <w:b w:val="0"/>
                <w:bCs/>
                <w:color w:val="auto"/>
                <w:kern w:val="2"/>
                <w:sz w:val="24"/>
                <w:szCs w:val="24"/>
                <w:highlight w:val="none"/>
                <w:lang w:val="en-US" w:eastAsia="zh-CN" w:bidi="ar-SA"/>
              </w:rPr>
              <w:t>65</w:t>
            </w:r>
            <w:r>
              <w:rPr>
                <w:rFonts w:hint="default" w:ascii="Times New Roman" w:hAnsi="Times New Roman" w:eastAsia="宋体" w:cs="Times New Roman"/>
                <w:b w:val="0"/>
                <w:bCs/>
                <w:color w:val="auto"/>
                <w:kern w:val="2"/>
                <w:sz w:val="24"/>
                <w:szCs w:val="24"/>
                <w:highlight w:val="none"/>
                <w:lang w:val="en-US" w:eastAsia="zh-CN" w:bidi="ar-SA"/>
              </w:rPr>
              <w:t>0t</w:t>
            </w:r>
            <w:r>
              <w:rPr>
                <w:rFonts w:hint="eastAsia" w:ascii="Times New Roman" w:hAnsi="Times New Roman" w:eastAsia="宋体" w:cs="Times New Roman"/>
                <w:b w:val="0"/>
                <w:bCs/>
                <w:color w:val="auto"/>
                <w:kern w:val="2"/>
                <w:sz w:val="24"/>
                <w:szCs w:val="24"/>
                <w:highlight w:val="none"/>
                <w:lang w:val="en-US" w:eastAsia="zh-CN" w:bidi="ar-SA"/>
              </w:rPr>
              <w:t>，建设</w:t>
            </w:r>
            <w:r>
              <w:rPr>
                <w:rFonts w:hint="default" w:ascii="Times New Roman" w:hAnsi="Times New Roman" w:eastAsia="宋体" w:cs="Times New Roman"/>
                <w:b w:val="0"/>
                <w:bCs/>
                <w:color w:val="auto"/>
                <w:kern w:val="2"/>
                <w:sz w:val="24"/>
                <w:szCs w:val="24"/>
                <w:highlight w:val="none"/>
                <w:lang w:val="en-US" w:eastAsia="zh-CN" w:bidi="ar-SA"/>
              </w:rPr>
              <w:t>1</w:t>
            </w:r>
            <w:r>
              <w:rPr>
                <w:rFonts w:hint="eastAsia" w:ascii="Times New Roman" w:hAnsi="Times New Roman" w:eastAsia="宋体" w:cs="Times New Roman"/>
                <w:b w:val="0"/>
                <w:bCs/>
                <w:color w:val="auto"/>
                <w:kern w:val="2"/>
                <w:sz w:val="24"/>
                <w:szCs w:val="24"/>
                <w:highlight w:val="none"/>
                <w:lang w:val="en-US" w:eastAsia="zh-CN" w:bidi="ar-SA"/>
              </w:rPr>
              <w:t>座粉煤灰筒仓，则粉煤灰筒仓的年充装时间为</w:t>
            </w:r>
            <w:r>
              <w:rPr>
                <w:rFonts w:hint="eastAsia" w:cs="Times New Roman"/>
                <w:b w:val="0"/>
                <w:bCs/>
                <w:color w:val="auto"/>
                <w:kern w:val="2"/>
                <w:sz w:val="24"/>
                <w:szCs w:val="24"/>
                <w:highlight w:val="none"/>
                <w:lang w:val="en-US" w:eastAsia="zh-CN" w:bidi="ar-SA"/>
              </w:rPr>
              <w:t>16.25</w:t>
            </w:r>
            <w:r>
              <w:rPr>
                <w:rFonts w:hint="default" w:ascii="Times New Roman" w:hAnsi="Times New Roman" w:eastAsia="宋体" w:cs="Times New Roman"/>
                <w:b w:val="0"/>
                <w:bCs/>
                <w:color w:val="auto"/>
                <w:kern w:val="2"/>
                <w:sz w:val="24"/>
                <w:szCs w:val="24"/>
                <w:highlight w:val="none"/>
                <w:lang w:val="en-US" w:eastAsia="zh-CN" w:bidi="ar-SA"/>
              </w:rPr>
              <w:t>h</w:t>
            </w:r>
            <w:r>
              <w:rPr>
                <w:rFonts w:hint="eastAsia" w:ascii="Times New Roman" w:hAnsi="Times New Roman" w:eastAsia="宋体" w:cs="Times New Roman"/>
                <w:b w:val="0"/>
                <w:bCs/>
                <w:color w:val="auto"/>
                <w:kern w:val="2"/>
                <w:sz w:val="24"/>
                <w:szCs w:val="24"/>
                <w:highlight w:val="none"/>
                <w:lang w:val="en-US" w:eastAsia="zh-CN" w:bidi="ar-SA"/>
              </w:rPr>
              <w:t>。粉煤灰筒仓排放颗粒物仅在水泥筒仓进料呼吸时进行排放，粉煤灰筒仓的粉尘产生量为</w:t>
            </w:r>
            <w:r>
              <w:rPr>
                <w:rFonts w:hint="default" w:ascii="Times New Roman" w:hAnsi="Times New Roman" w:eastAsia="宋体" w:cs="Times New Roman"/>
                <w:b w:val="0"/>
                <w:bCs/>
                <w:color w:val="auto"/>
                <w:kern w:val="2"/>
                <w:sz w:val="24"/>
                <w:szCs w:val="24"/>
                <w:highlight w:val="none"/>
                <w:lang w:val="en-US" w:eastAsia="zh-CN" w:bidi="ar-SA"/>
              </w:rPr>
              <w:t>0</w:t>
            </w:r>
            <w:r>
              <w:rPr>
                <w:rFonts w:hint="eastAsia" w:ascii="Times New Roman" w:hAnsi="Times New Roman" w:eastAsia="宋体" w:cs="Times New Roman"/>
                <w:b w:val="0"/>
                <w:bCs/>
                <w:color w:val="auto"/>
                <w:kern w:val="2"/>
                <w:sz w:val="24"/>
                <w:szCs w:val="24"/>
                <w:highlight w:val="none"/>
                <w:lang w:val="en-US" w:eastAsia="zh-CN" w:bidi="ar-SA"/>
              </w:rPr>
              <w:t>.</w:t>
            </w:r>
            <w:r>
              <w:rPr>
                <w:rFonts w:hint="eastAsia" w:cs="Times New Roman"/>
                <w:b w:val="0"/>
                <w:bCs/>
                <w:color w:val="auto"/>
                <w:kern w:val="2"/>
                <w:sz w:val="24"/>
                <w:szCs w:val="24"/>
                <w:highlight w:val="none"/>
                <w:lang w:val="en-US" w:eastAsia="zh-CN" w:bidi="ar-SA"/>
              </w:rPr>
              <w:t>08</w:t>
            </w:r>
            <w:r>
              <w:rPr>
                <w:rFonts w:hint="default" w:ascii="Times New Roman" w:hAnsi="Times New Roman" w:eastAsia="宋体" w:cs="Times New Roman"/>
                <w:b w:val="0"/>
                <w:bCs/>
                <w:color w:val="auto"/>
                <w:kern w:val="2"/>
                <w:sz w:val="24"/>
                <w:szCs w:val="24"/>
                <w:highlight w:val="none"/>
                <w:lang w:val="en-US" w:eastAsia="zh-CN" w:bidi="ar-SA"/>
              </w:rPr>
              <w:t>t/a</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4</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8kg/h</w:t>
            </w:r>
            <w:r>
              <w:rPr>
                <w:rFonts w:hint="eastAsia" w:ascii="Times New Roman" w:hAnsi="Times New Roman" w:eastAsia="宋体" w:cs="Times New Roman"/>
                <w:b w:val="0"/>
                <w:bCs/>
                <w:color w:val="auto"/>
                <w:kern w:val="2"/>
                <w:sz w:val="24"/>
                <w:szCs w:val="24"/>
                <w:highlight w:val="none"/>
                <w:lang w:val="en-US" w:eastAsia="zh-CN" w:bidi="ar-SA"/>
              </w:rPr>
              <w:t>），经筒仓自带的布袋除尘器</w:t>
            </w:r>
            <w:r>
              <w:rPr>
                <w:rFonts w:hint="eastAsia" w:cs="Times New Roman"/>
                <w:b w:val="0"/>
                <w:bCs/>
                <w:color w:val="auto"/>
                <w:kern w:val="2"/>
                <w:sz w:val="24"/>
                <w:szCs w:val="24"/>
                <w:highlight w:val="none"/>
                <w:lang w:val="en-US" w:eastAsia="zh-CN" w:bidi="ar-SA"/>
              </w:rPr>
              <w:t>（无动力除尘）</w:t>
            </w:r>
            <w:r>
              <w:rPr>
                <w:rFonts w:hint="eastAsia" w:ascii="Times New Roman" w:hAnsi="Times New Roman" w:eastAsia="宋体" w:cs="Times New Roman"/>
                <w:b w:val="0"/>
                <w:bCs/>
                <w:color w:val="auto"/>
                <w:kern w:val="2"/>
                <w:sz w:val="24"/>
                <w:szCs w:val="24"/>
                <w:highlight w:val="none"/>
                <w:lang w:val="en-US" w:eastAsia="zh-CN" w:bidi="ar-SA"/>
              </w:rPr>
              <w:t>处理后通过罐顶无组织排放，处理效率</w:t>
            </w:r>
            <w:r>
              <w:rPr>
                <w:rFonts w:hint="default" w:ascii="Times New Roman" w:hAnsi="Times New Roman" w:eastAsia="宋体" w:cs="Times New Roman"/>
                <w:b w:val="0"/>
                <w:bCs/>
                <w:color w:val="auto"/>
                <w:kern w:val="2"/>
                <w:sz w:val="24"/>
                <w:szCs w:val="24"/>
                <w:highlight w:val="none"/>
                <w:lang w:val="en-US" w:eastAsia="zh-CN" w:bidi="ar-SA"/>
              </w:rPr>
              <w:t>99</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w:t>
            </w:r>
            <w:r>
              <w:rPr>
                <w:rFonts w:hint="eastAsia" w:cs="Times New Roman"/>
                <w:b w:val="0"/>
                <w:bCs/>
                <w:color w:val="auto"/>
                <w:kern w:val="2"/>
                <w:sz w:val="24"/>
                <w:szCs w:val="24"/>
                <w:highlight w:val="none"/>
                <w:lang w:val="en-US" w:eastAsia="zh-CN" w:bidi="ar-SA"/>
              </w:rPr>
              <w:t>.</w:t>
            </w:r>
            <w:r>
              <w:rPr>
                <w:rFonts w:hint="eastAsia" w:ascii="Times New Roman" w:hAnsi="Times New Roman" w:eastAsia="宋体" w:cs="Times New Roman"/>
                <w:b w:val="0"/>
                <w:bCs/>
                <w:color w:val="auto"/>
                <w:kern w:val="2"/>
                <w:sz w:val="24"/>
                <w:szCs w:val="24"/>
                <w:highlight w:val="none"/>
                <w:lang w:val="en-US" w:eastAsia="zh-CN" w:bidi="ar-SA"/>
              </w:rPr>
              <w:t>，则粉煤灰筒仓粉尘排放量为</w:t>
            </w:r>
            <w:r>
              <w:rPr>
                <w:rFonts w:hint="default" w:ascii="Times New Roman" w:hAnsi="Times New Roman" w:eastAsia="宋体" w:cs="Times New Roman"/>
                <w:b w:val="0"/>
                <w:bCs/>
                <w:color w:val="auto"/>
                <w:kern w:val="2"/>
                <w:sz w:val="24"/>
                <w:szCs w:val="24"/>
                <w:highlight w:val="none"/>
                <w:lang w:val="en-US" w:eastAsia="zh-CN" w:bidi="ar-SA"/>
              </w:rPr>
              <w:t>0</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00</w:t>
            </w:r>
            <w:r>
              <w:rPr>
                <w:rFonts w:hint="eastAsia" w:cs="Times New Roman"/>
                <w:b w:val="0"/>
                <w:bCs/>
                <w:color w:val="auto"/>
                <w:kern w:val="2"/>
                <w:sz w:val="24"/>
                <w:szCs w:val="24"/>
                <w:highlight w:val="none"/>
                <w:lang w:val="en-US" w:eastAsia="zh-CN" w:bidi="ar-SA"/>
              </w:rPr>
              <w:t>04</w:t>
            </w:r>
            <w:r>
              <w:rPr>
                <w:rFonts w:hint="default" w:ascii="Times New Roman" w:hAnsi="Times New Roman" w:eastAsia="宋体" w:cs="Times New Roman"/>
                <w:b w:val="0"/>
                <w:bCs/>
                <w:color w:val="auto"/>
                <w:kern w:val="2"/>
                <w:sz w:val="24"/>
                <w:szCs w:val="24"/>
                <w:highlight w:val="none"/>
                <w:lang w:val="en-US" w:eastAsia="zh-CN" w:bidi="ar-SA"/>
              </w:rPr>
              <w:t>t/a</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0</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0</w:t>
            </w:r>
            <w:r>
              <w:rPr>
                <w:rFonts w:hint="default" w:ascii="Times New Roman" w:hAnsi="Times New Roman" w:cs="Times New Roman"/>
                <w:b w:val="0"/>
                <w:bCs/>
                <w:color w:val="auto"/>
                <w:kern w:val="2"/>
                <w:sz w:val="24"/>
                <w:szCs w:val="24"/>
                <w:highlight w:val="none"/>
                <w:lang w:val="en-US" w:eastAsia="zh-CN" w:bidi="ar-SA"/>
              </w:rPr>
              <w:t>24</w:t>
            </w:r>
            <w:r>
              <w:rPr>
                <w:rFonts w:hint="default" w:ascii="Times New Roman" w:hAnsi="Times New Roman" w:eastAsia="宋体" w:cs="Times New Roman"/>
                <w:b w:val="0"/>
                <w:bCs/>
                <w:color w:val="auto"/>
                <w:kern w:val="2"/>
                <w:sz w:val="24"/>
                <w:szCs w:val="24"/>
                <w:highlight w:val="none"/>
                <w:lang w:val="en-US" w:eastAsia="zh-CN" w:bidi="ar-SA"/>
              </w:rPr>
              <w:t>kg/h</w:t>
            </w:r>
            <w:r>
              <w:rPr>
                <w:rFonts w:hint="eastAsia" w:ascii="Times New Roman" w:hAnsi="Times New Roman" w:eastAsia="宋体" w:cs="Times New Roman"/>
                <w:b w:val="0"/>
                <w:bCs/>
                <w:color w:val="auto"/>
                <w:kern w:val="2"/>
                <w:sz w:val="24"/>
                <w:szCs w:val="24"/>
                <w:highlight w:val="none"/>
                <w:lang w:val="en-US" w:eastAsia="zh-CN" w:bidi="ar-SA"/>
              </w:rPr>
              <w:t>）。</w:t>
            </w:r>
          </w:p>
          <w:p>
            <w:pPr>
              <w:pStyle w:val="130"/>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5</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投料粉尘</w:t>
            </w:r>
          </w:p>
          <w:p>
            <w:pPr>
              <w:pStyle w:val="130"/>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 xml:space="preserve">砂通过铲车送至进料口进入砂仓，碎石通过铲车送至进料口进入石仓，经配料门进入计量斗，计量斗根据微机指令控制比例后卸在输送带上运入搅拌机。 </w:t>
            </w:r>
          </w:p>
          <w:p>
            <w:pPr>
              <w:pStyle w:val="130"/>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参照《逸散性</w:t>
            </w:r>
            <w:r>
              <w:rPr>
                <w:rFonts w:hint="eastAsia" w:ascii="Times New Roman" w:hAnsi="Times New Roman" w:eastAsia="宋体" w:cs="Times New Roman"/>
                <w:b w:val="0"/>
                <w:bCs/>
                <w:color w:val="auto"/>
                <w:kern w:val="2"/>
                <w:sz w:val="24"/>
                <w:szCs w:val="24"/>
                <w:highlight w:val="none"/>
                <w:lang w:val="en-US" w:eastAsia="zh-CN" w:bidi="ar-SA"/>
              </w:rPr>
              <w:t>工</w:t>
            </w:r>
            <w:r>
              <w:rPr>
                <w:rFonts w:hint="default" w:ascii="Times New Roman" w:hAnsi="Times New Roman" w:eastAsia="宋体" w:cs="Times New Roman"/>
                <w:b w:val="0"/>
                <w:bCs/>
                <w:color w:val="auto"/>
                <w:kern w:val="2"/>
                <w:sz w:val="24"/>
                <w:szCs w:val="24"/>
                <w:highlight w:val="none"/>
                <w:lang w:val="en-US" w:eastAsia="zh-CN" w:bidi="ar-SA"/>
              </w:rPr>
              <w:t>业粉尘控制技术》(J.A奥里蒙，中国环境科学出版社)，</w:t>
            </w:r>
            <w:r>
              <w:rPr>
                <w:rFonts w:hint="eastAsia" w:ascii="Times New Roman" w:hAnsi="Times New Roman" w:eastAsia="宋体" w:cs="Times New Roman"/>
                <w:b w:val="0"/>
                <w:bCs/>
                <w:color w:val="auto"/>
                <w:kern w:val="2"/>
                <w:sz w:val="24"/>
                <w:szCs w:val="24"/>
                <w:highlight w:val="none"/>
                <w:lang w:val="en-US" w:eastAsia="zh-CN" w:bidi="ar-SA"/>
              </w:rPr>
              <w:t>砂石</w:t>
            </w:r>
            <w:r>
              <w:rPr>
                <w:rFonts w:hint="default" w:ascii="Times New Roman" w:hAnsi="Times New Roman" w:eastAsia="宋体" w:cs="Times New Roman"/>
                <w:b w:val="0"/>
                <w:bCs/>
                <w:color w:val="auto"/>
                <w:kern w:val="2"/>
                <w:sz w:val="24"/>
                <w:szCs w:val="24"/>
                <w:highlight w:val="none"/>
                <w:lang w:val="en-US" w:eastAsia="zh-CN" w:bidi="ar-SA"/>
              </w:rPr>
              <w:t>直接装卸、投料产生的粉尘系数为0.02kg/t-原料</w:t>
            </w:r>
            <w:r>
              <w:rPr>
                <w:rFonts w:hint="eastAsia" w:ascii="Times New Roman" w:hAnsi="Times New Roman" w:eastAsia="宋体" w:cs="Times New Roman"/>
                <w:b w:val="0"/>
                <w:bCs/>
                <w:color w:val="auto"/>
                <w:kern w:val="2"/>
                <w:sz w:val="24"/>
                <w:szCs w:val="24"/>
                <w:highlight w:val="none"/>
                <w:lang w:val="en-US" w:eastAsia="zh-CN" w:bidi="ar-SA"/>
              </w:rPr>
              <w:t>，本项目砂石原料共</w:t>
            </w:r>
            <w:r>
              <w:rPr>
                <w:rFonts w:hint="eastAsia" w:cs="Times New Roman"/>
                <w:b w:val="0"/>
                <w:bCs/>
                <w:color w:val="auto"/>
                <w:kern w:val="2"/>
                <w:sz w:val="24"/>
                <w:szCs w:val="24"/>
                <w:highlight w:val="none"/>
                <w:lang w:val="en-US" w:eastAsia="zh-CN" w:bidi="ar-SA"/>
              </w:rPr>
              <w:t>27195</w:t>
            </w:r>
            <w:r>
              <w:rPr>
                <w:rFonts w:hint="default" w:ascii="Times New Roman" w:hAnsi="Times New Roman" w:eastAsia="宋体" w:cs="Times New Roman"/>
                <w:b w:val="0"/>
                <w:bCs/>
                <w:color w:val="auto"/>
                <w:kern w:val="2"/>
                <w:sz w:val="24"/>
                <w:szCs w:val="24"/>
                <w:highlight w:val="none"/>
                <w:lang w:val="en-US" w:eastAsia="zh-CN" w:bidi="ar-SA"/>
              </w:rPr>
              <w:t>t/a</w:t>
            </w:r>
            <w:r>
              <w:rPr>
                <w:rFonts w:hint="eastAsia" w:ascii="Times New Roman" w:hAnsi="Times New Roman" w:eastAsia="宋体" w:cs="Times New Roman"/>
                <w:b w:val="0"/>
                <w:bCs/>
                <w:color w:val="auto"/>
                <w:kern w:val="2"/>
                <w:sz w:val="24"/>
                <w:szCs w:val="24"/>
                <w:highlight w:val="none"/>
                <w:lang w:val="en-US" w:eastAsia="zh-CN" w:bidi="ar-SA"/>
              </w:rPr>
              <w:t>，粉尘产生量为</w:t>
            </w:r>
            <w:r>
              <w:rPr>
                <w:rFonts w:hint="eastAsia" w:cs="Times New Roman"/>
                <w:b w:val="0"/>
                <w:bCs/>
                <w:color w:val="auto"/>
                <w:kern w:val="2"/>
                <w:sz w:val="24"/>
                <w:szCs w:val="24"/>
                <w:highlight w:val="none"/>
                <w:lang w:val="en-US" w:eastAsia="zh-CN" w:bidi="ar-SA"/>
              </w:rPr>
              <w:t>0.54</w:t>
            </w:r>
            <w:r>
              <w:rPr>
                <w:rFonts w:hint="default" w:ascii="Times New Roman" w:hAnsi="Times New Roman" w:eastAsia="宋体" w:cs="Times New Roman"/>
                <w:b w:val="0"/>
                <w:bCs/>
                <w:color w:val="auto"/>
                <w:kern w:val="2"/>
                <w:sz w:val="24"/>
                <w:szCs w:val="24"/>
                <w:highlight w:val="none"/>
                <w:lang w:val="en-US" w:eastAsia="zh-CN" w:bidi="ar-SA"/>
              </w:rPr>
              <w:t>t/a</w:t>
            </w:r>
            <w:r>
              <w:rPr>
                <w:rFonts w:hint="eastAsia" w:ascii="Times New Roman" w:hAnsi="Times New Roman" w:eastAsia="宋体" w:cs="Times New Roman"/>
                <w:b w:val="0"/>
                <w:bCs/>
                <w:color w:val="auto"/>
                <w:kern w:val="2"/>
                <w:sz w:val="24"/>
                <w:szCs w:val="24"/>
                <w:highlight w:val="none"/>
                <w:lang w:val="en-US" w:eastAsia="zh-CN" w:bidi="ar-SA"/>
              </w:rPr>
              <w:t>，产生速率均为</w:t>
            </w:r>
            <w:r>
              <w:rPr>
                <w:rFonts w:hint="eastAsia" w:cs="Times New Roman"/>
                <w:b w:val="0"/>
                <w:bCs/>
                <w:color w:val="auto"/>
                <w:kern w:val="2"/>
                <w:sz w:val="24"/>
                <w:szCs w:val="24"/>
                <w:highlight w:val="none"/>
                <w:lang w:val="en-US" w:eastAsia="zh-CN" w:bidi="ar-SA"/>
              </w:rPr>
              <w:t>0.54</w:t>
            </w:r>
            <w:r>
              <w:rPr>
                <w:rFonts w:hint="default" w:ascii="Times New Roman" w:hAnsi="Times New Roman" w:eastAsia="宋体" w:cs="Times New Roman"/>
                <w:b w:val="0"/>
                <w:bCs/>
                <w:color w:val="auto"/>
                <w:kern w:val="2"/>
                <w:sz w:val="24"/>
                <w:szCs w:val="24"/>
                <w:highlight w:val="none"/>
                <w:lang w:val="en-US" w:eastAsia="zh-CN" w:bidi="ar-SA"/>
              </w:rPr>
              <w:t>kg/h</w:t>
            </w:r>
            <w:r>
              <w:rPr>
                <w:rFonts w:hint="eastAsia" w:ascii="Times New Roman" w:hAnsi="Times New Roman" w:eastAsia="宋体" w:cs="Times New Roman"/>
                <w:b w:val="0"/>
                <w:bCs/>
                <w:color w:val="auto"/>
                <w:kern w:val="2"/>
                <w:sz w:val="24"/>
                <w:szCs w:val="24"/>
                <w:highlight w:val="none"/>
                <w:lang w:val="en-US" w:eastAsia="zh-CN" w:bidi="ar-SA"/>
              </w:rPr>
              <w:t xml:space="preserve">。 </w:t>
            </w:r>
          </w:p>
          <w:p>
            <w:pPr>
              <w:pStyle w:val="130"/>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本项目投料斗上方设置半封闭式罩棚</w:t>
            </w:r>
            <w:r>
              <w:rPr>
                <w:rFonts w:hint="eastAsia" w:ascii="Times New Roman" w:hAnsi="Times New Roman" w:cs="Times New Roman"/>
                <w:b w:val="0"/>
                <w:bCs/>
                <w:color w:val="auto"/>
                <w:kern w:val="2"/>
                <w:sz w:val="24"/>
                <w:szCs w:val="24"/>
                <w:highlight w:val="none"/>
                <w:lang w:val="en-US" w:eastAsia="zh-CN" w:bidi="ar-SA"/>
              </w:rPr>
              <w:t>；</w:t>
            </w:r>
            <w:r>
              <w:rPr>
                <w:rFonts w:hint="eastAsia" w:ascii="Times New Roman" w:hAnsi="Times New Roman" w:eastAsia="宋体" w:cs="Times New Roman"/>
                <w:b w:val="0"/>
                <w:bCs/>
                <w:color w:val="auto"/>
                <w:kern w:val="2"/>
                <w:sz w:val="24"/>
                <w:szCs w:val="24"/>
                <w:highlight w:val="none"/>
                <w:lang w:val="en-US" w:eastAsia="zh-CN" w:bidi="ar-SA"/>
              </w:rPr>
              <w:t>并在投料口上方</w:t>
            </w:r>
            <w:r>
              <w:rPr>
                <w:rFonts w:hint="default" w:ascii="Times New Roman" w:hAnsi="Times New Roman" w:eastAsia="宋体" w:cs="Times New Roman"/>
                <w:b w:val="0"/>
                <w:bCs/>
                <w:color w:val="auto"/>
                <w:kern w:val="2"/>
                <w:sz w:val="24"/>
                <w:szCs w:val="24"/>
                <w:highlight w:val="none"/>
                <w:lang w:val="en-US" w:eastAsia="zh-CN" w:bidi="ar-SA"/>
              </w:rPr>
              <w:t>设置</w:t>
            </w:r>
            <w:r>
              <w:rPr>
                <w:rFonts w:hint="eastAsia" w:ascii="Times New Roman" w:hAnsi="Times New Roman" w:eastAsia="宋体" w:cs="Times New Roman"/>
                <w:b w:val="0"/>
                <w:bCs/>
                <w:color w:val="auto"/>
                <w:kern w:val="2"/>
                <w:sz w:val="24"/>
                <w:szCs w:val="24"/>
                <w:highlight w:val="none"/>
                <w:lang w:val="en-US" w:eastAsia="zh-CN" w:bidi="ar-SA"/>
              </w:rPr>
              <w:t>雾化喷淋装置</w:t>
            </w:r>
            <w:r>
              <w:rPr>
                <w:rFonts w:hint="default" w:ascii="Times New Roman" w:hAnsi="Times New Roman" w:eastAsia="宋体" w:cs="Times New Roman"/>
                <w:b w:val="0"/>
                <w:bCs/>
                <w:color w:val="auto"/>
                <w:kern w:val="2"/>
                <w:sz w:val="24"/>
                <w:szCs w:val="24"/>
                <w:highlight w:val="none"/>
                <w:lang w:val="en-US" w:eastAsia="zh-CN" w:bidi="ar-SA"/>
              </w:rPr>
              <w:t>，适当增加该区域空气含水率，加快粉尘沉降。根据《除尘工程设计手册》(第二版)</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湿法除尘设计除尘效率可达到90~99%，按最不利因素本项目水</w:t>
            </w:r>
            <w:r>
              <w:rPr>
                <w:rFonts w:hint="eastAsia" w:ascii="Times New Roman" w:hAnsi="Times New Roman" w:eastAsia="宋体" w:cs="Times New Roman"/>
                <w:b w:val="0"/>
                <w:bCs/>
                <w:color w:val="auto"/>
                <w:kern w:val="2"/>
                <w:sz w:val="24"/>
                <w:szCs w:val="24"/>
                <w:highlight w:val="none"/>
                <w:lang w:val="en-US" w:eastAsia="zh-CN" w:bidi="ar-SA"/>
              </w:rPr>
              <w:t>喷雾</w:t>
            </w:r>
            <w:r>
              <w:rPr>
                <w:rFonts w:hint="default" w:ascii="Times New Roman" w:hAnsi="Times New Roman" w:eastAsia="宋体" w:cs="Times New Roman"/>
                <w:b w:val="0"/>
                <w:bCs/>
                <w:color w:val="auto"/>
                <w:kern w:val="2"/>
                <w:sz w:val="24"/>
                <w:szCs w:val="24"/>
                <w:highlight w:val="none"/>
                <w:lang w:val="en-US" w:eastAsia="zh-CN" w:bidi="ar-SA"/>
              </w:rPr>
              <w:t>除尘效率取90%，则投料产生的无组织粉尘排放量约为</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.054</w:t>
            </w:r>
            <w:r>
              <w:rPr>
                <w:rFonts w:hint="default" w:ascii="Times New Roman" w:hAnsi="Times New Roman" w:eastAsia="宋体" w:cs="Times New Roman"/>
                <w:b w:val="0"/>
                <w:bCs/>
                <w:color w:val="auto"/>
                <w:kern w:val="2"/>
                <w:sz w:val="24"/>
                <w:szCs w:val="24"/>
                <w:highlight w:val="none"/>
                <w:lang w:val="en-US" w:eastAsia="zh-CN" w:bidi="ar-SA"/>
              </w:rPr>
              <w:t>t/a，排放速率约0</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54</w:t>
            </w:r>
            <w:r>
              <w:rPr>
                <w:rFonts w:hint="default" w:ascii="Times New Roman" w:hAnsi="Times New Roman" w:eastAsia="宋体" w:cs="Times New Roman"/>
                <w:b w:val="0"/>
                <w:bCs/>
                <w:color w:val="auto"/>
                <w:kern w:val="2"/>
                <w:sz w:val="24"/>
                <w:szCs w:val="24"/>
                <w:highlight w:val="none"/>
                <w:lang w:val="en-US" w:eastAsia="zh-CN" w:bidi="ar-SA"/>
              </w:rPr>
              <w:t>kg</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h。</w:t>
            </w:r>
          </w:p>
          <w:p>
            <w:pPr>
              <w:pStyle w:val="130"/>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（6）搅拌粉尘</w:t>
            </w:r>
          </w:p>
          <w:p>
            <w:pPr>
              <w:spacing w:line="360" w:lineRule="auto"/>
              <w:ind w:firstLine="480" w:firstLineChars="200"/>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搅拌过程是将砂石原料、水泥、粉煤灰、外加剂及新鲜水一并混入搅拌机内并连续搅拌的过程。其砂石原料储存于</w:t>
            </w:r>
            <w:r>
              <w:rPr>
                <w:rFonts w:hint="eastAsia" w:ascii="Times New Roman" w:hAnsi="Times New Roman" w:eastAsia="宋体" w:cs="Times New Roman"/>
                <w:b w:val="0"/>
                <w:bCs/>
                <w:color w:val="auto"/>
                <w:kern w:val="2"/>
                <w:sz w:val="24"/>
                <w:szCs w:val="24"/>
                <w:highlight w:val="none"/>
                <w:lang w:val="en-US" w:eastAsia="zh-CN" w:bidi="ar-SA"/>
              </w:rPr>
              <w:t>砂石料场</w:t>
            </w:r>
            <w:r>
              <w:rPr>
                <w:rFonts w:hint="default" w:ascii="Times New Roman" w:hAnsi="Times New Roman" w:eastAsia="宋体" w:cs="Times New Roman"/>
                <w:b w:val="0"/>
                <w:bCs/>
                <w:color w:val="auto"/>
                <w:kern w:val="2"/>
                <w:sz w:val="24"/>
                <w:szCs w:val="24"/>
                <w:highlight w:val="none"/>
                <w:lang w:val="en-US" w:eastAsia="zh-CN" w:bidi="ar-SA"/>
              </w:rPr>
              <w:t>，利用</w:t>
            </w:r>
            <w:r>
              <w:rPr>
                <w:rFonts w:hint="eastAsia" w:ascii="Times New Roman" w:hAnsi="Times New Roman" w:eastAsia="宋体" w:cs="Times New Roman"/>
                <w:b w:val="0"/>
                <w:bCs/>
                <w:color w:val="auto"/>
                <w:kern w:val="2"/>
                <w:sz w:val="24"/>
                <w:szCs w:val="24"/>
                <w:highlight w:val="none"/>
                <w:lang w:val="en-US" w:eastAsia="zh-CN" w:bidi="ar-SA"/>
              </w:rPr>
              <w:t>铲车</w:t>
            </w:r>
            <w:r>
              <w:rPr>
                <w:rFonts w:hint="default" w:ascii="Times New Roman" w:hAnsi="Times New Roman" w:eastAsia="宋体" w:cs="Times New Roman"/>
                <w:b w:val="0"/>
                <w:bCs/>
                <w:color w:val="auto"/>
                <w:kern w:val="2"/>
                <w:sz w:val="24"/>
                <w:szCs w:val="24"/>
                <w:highlight w:val="none"/>
                <w:lang w:val="en-US" w:eastAsia="zh-CN" w:bidi="ar-SA"/>
              </w:rPr>
              <w:t>至进料口后卸入搅拌机内；散装水泥、粉煤灰通过气压泵从筒仓底部泵入搅拌机内；水通过水泵直接泵入搅拌机。本项目原料（砂石、水泥、粉煤灰）加入时，搅拌机缓慢旋转并按配比注入水和外加剂，水的加入可有效的抑制原料粉尘的产生，但在原料（砂石、水泥）落料的过程中仍会有粉尘产生。搅拌站采用彩钢棚进行整体封闭，物料通过密闭管道输送及收集，搅拌机搅拌过程中为密闭状态</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搅拌主机卸料口应设置</w:t>
            </w:r>
            <w:r>
              <w:rPr>
                <w:rFonts w:hint="eastAsia" w:ascii="Times New Roman" w:hAnsi="Times New Roman" w:eastAsia="宋体" w:cs="Times New Roman"/>
                <w:b w:val="0"/>
                <w:bCs/>
                <w:color w:val="auto"/>
                <w:kern w:val="2"/>
                <w:sz w:val="24"/>
                <w:szCs w:val="24"/>
                <w:highlight w:val="none"/>
                <w:lang w:val="en-US" w:eastAsia="zh-CN" w:bidi="ar-SA"/>
              </w:rPr>
              <w:t>防喷溅设施。</w:t>
            </w:r>
          </w:p>
          <w:p>
            <w:pPr>
              <w:spacing w:line="360" w:lineRule="auto"/>
              <w:ind w:firstLine="480" w:firstLineChars="200"/>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搅拌粉尘根据《排放源统计调查产排污核算方法和系数手册》（公告2021年第24号）中“3021水泥制品制造业（含3022砼结构构件、3029其他水泥类似制品制造）行业产排污系数表”可知混凝土制品在物料混合搅拌工序颗粒物的产污系数为0.13千克/吨-产品。该项目产品量为</w:t>
            </w:r>
            <w:r>
              <w:rPr>
                <w:rFonts w:hint="eastAsia" w:cs="Times New Roman"/>
                <w:b w:val="0"/>
                <w:bCs/>
                <w:color w:val="auto"/>
                <w:kern w:val="2"/>
                <w:sz w:val="24"/>
                <w:szCs w:val="24"/>
                <w:highlight w:val="none"/>
                <w:lang w:val="en-US" w:eastAsia="zh-CN" w:bidi="ar-SA"/>
              </w:rPr>
              <w:t>1.5</w:t>
            </w:r>
            <w:r>
              <w:rPr>
                <w:rFonts w:hint="default" w:ascii="Times New Roman" w:hAnsi="Times New Roman" w:eastAsia="宋体" w:cs="Times New Roman"/>
                <w:b w:val="0"/>
                <w:bCs/>
                <w:color w:val="auto"/>
                <w:kern w:val="2"/>
                <w:sz w:val="24"/>
                <w:szCs w:val="24"/>
                <w:highlight w:val="none"/>
                <w:lang w:val="en-US" w:eastAsia="zh-CN" w:bidi="ar-SA"/>
              </w:rPr>
              <w:t>万m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/a，合计</w:t>
            </w:r>
            <w:r>
              <w:rPr>
                <w:rFonts w:hint="eastAsia" w:cs="Times New Roman"/>
                <w:b w:val="0"/>
                <w:bCs/>
                <w:color w:val="auto"/>
                <w:kern w:val="2"/>
                <w:sz w:val="24"/>
                <w:szCs w:val="24"/>
                <w:highlight w:val="none"/>
                <w:lang w:val="en-US" w:eastAsia="zh-CN" w:bidi="ar-SA"/>
              </w:rPr>
              <w:t>37500</w:t>
            </w:r>
            <w:r>
              <w:rPr>
                <w:rFonts w:hint="default" w:ascii="Times New Roman" w:hAnsi="Times New Roman" w:eastAsia="宋体" w:cs="Times New Roman"/>
                <w:b w:val="0"/>
                <w:bCs/>
                <w:color w:val="auto"/>
                <w:kern w:val="2"/>
                <w:sz w:val="24"/>
                <w:szCs w:val="24"/>
                <w:highlight w:val="none"/>
                <w:lang w:val="en-US" w:eastAsia="zh-CN" w:bidi="ar-SA"/>
              </w:rPr>
              <w:t>t/a，（密度按2.</w:t>
            </w:r>
            <w:r>
              <w:rPr>
                <w:rFonts w:hint="default" w:ascii="Times New Roman" w:hAnsi="Times New Roman"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t/m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计算），则通过产污系数可算出搅拌产生颗粒物量为</w:t>
            </w:r>
            <w:r>
              <w:rPr>
                <w:rFonts w:hint="eastAsia" w:cs="Times New Roman"/>
                <w:b w:val="0"/>
                <w:bCs/>
                <w:color w:val="auto"/>
                <w:kern w:val="2"/>
                <w:sz w:val="24"/>
                <w:szCs w:val="24"/>
                <w:highlight w:val="none"/>
                <w:lang w:val="en-US" w:eastAsia="zh-CN" w:bidi="ar-SA"/>
              </w:rPr>
              <w:t>4.88</w:t>
            </w:r>
            <w:r>
              <w:rPr>
                <w:rFonts w:hint="default" w:ascii="Times New Roman" w:hAnsi="Times New Roman" w:eastAsia="宋体" w:cs="Times New Roman"/>
                <w:b w:val="0"/>
                <w:bCs/>
                <w:color w:val="auto"/>
                <w:kern w:val="2"/>
                <w:sz w:val="24"/>
                <w:szCs w:val="24"/>
                <w:highlight w:val="none"/>
                <w:lang w:val="en-US" w:eastAsia="zh-CN" w:bidi="ar-SA"/>
              </w:rPr>
              <w:t>t/a，产生速率为</w:t>
            </w:r>
            <w:r>
              <w:rPr>
                <w:rFonts w:hint="eastAsia" w:cs="Times New Roman"/>
                <w:b w:val="0"/>
                <w:bCs/>
                <w:color w:val="auto"/>
                <w:kern w:val="2"/>
                <w:sz w:val="24"/>
                <w:szCs w:val="24"/>
                <w:highlight w:val="none"/>
                <w:lang w:val="en-US" w:eastAsia="zh-CN" w:bidi="ar-SA"/>
              </w:rPr>
              <w:t>4.88</w:t>
            </w:r>
            <w:r>
              <w:rPr>
                <w:rFonts w:hint="default" w:ascii="Times New Roman" w:hAnsi="Times New Roman" w:eastAsia="宋体" w:cs="Times New Roman"/>
                <w:b w:val="0"/>
                <w:bCs/>
                <w:color w:val="auto"/>
                <w:kern w:val="2"/>
                <w:sz w:val="24"/>
                <w:szCs w:val="24"/>
                <w:highlight w:val="none"/>
                <w:lang w:val="en-US" w:eastAsia="zh-CN" w:bidi="ar-SA"/>
              </w:rPr>
              <w:t>kg/h，产生浓度</w:t>
            </w:r>
            <w:r>
              <w:rPr>
                <w:rFonts w:hint="eastAsia" w:cs="Times New Roman"/>
                <w:b w:val="0"/>
                <w:bCs/>
                <w:color w:val="auto"/>
                <w:kern w:val="2"/>
                <w:sz w:val="24"/>
                <w:szCs w:val="24"/>
                <w:highlight w:val="none"/>
                <w:lang w:val="en-US" w:eastAsia="zh-CN" w:bidi="ar-SA"/>
              </w:rPr>
              <w:t>0.609</w:t>
            </w:r>
            <w:r>
              <w:rPr>
                <w:rFonts w:hint="default" w:ascii="Times New Roman" w:hAnsi="Times New Roman" w:eastAsia="宋体" w:cs="Times New Roman"/>
                <w:b w:val="0"/>
                <w:bCs/>
                <w:color w:val="auto"/>
                <w:kern w:val="2"/>
                <w:sz w:val="24"/>
                <w:szCs w:val="24"/>
                <w:highlight w:val="none"/>
                <w:lang w:val="en-US" w:eastAsia="zh-CN" w:bidi="ar-SA"/>
              </w:rPr>
              <w:t>mg/m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（年运行</w:t>
            </w:r>
            <w:r>
              <w:rPr>
                <w:rFonts w:hint="eastAsia" w:cs="Times New Roman"/>
                <w:b w:val="0"/>
                <w:bCs/>
                <w:color w:val="auto"/>
                <w:kern w:val="2"/>
                <w:sz w:val="24"/>
                <w:szCs w:val="24"/>
                <w:highlight w:val="none"/>
                <w:lang w:val="en-US" w:eastAsia="zh-CN" w:bidi="ar-SA"/>
              </w:rPr>
              <w:t>10</w:t>
            </w:r>
            <w:r>
              <w:rPr>
                <w:rFonts w:hint="default" w:ascii="Times New Roman" w:hAnsi="Times New Roman" w:eastAsia="宋体" w:cs="Times New Roman"/>
                <w:b w:val="0"/>
                <w:bCs/>
                <w:color w:val="auto"/>
                <w:kern w:val="2"/>
                <w:sz w:val="24"/>
                <w:szCs w:val="24"/>
                <w:highlight w:val="none"/>
                <w:lang w:val="en-US" w:eastAsia="zh-CN" w:bidi="ar-SA"/>
              </w:rPr>
              <w:t>0天，</w:t>
            </w:r>
            <w:r>
              <w:rPr>
                <w:rFonts w:hint="eastAsia" w:cs="Times New Roman"/>
                <w:b w:val="0"/>
                <w:bCs/>
                <w:color w:val="auto"/>
                <w:kern w:val="2"/>
                <w:sz w:val="24"/>
                <w:szCs w:val="24"/>
                <w:highlight w:val="none"/>
                <w:lang w:val="en-US" w:eastAsia="zh-CN" w:bidi="ar-SA"/>
              </w:rPr>
              <w:t>一</w:t>
            </w:r>
            <w:r>
              <w:rPr>
                <w:rFonts w:hint="default" w:ascii="Times New Roman" w:hAnsi="Times New Roman" w:eastAsia="宋体" w:cs="Times New Roman"/>
                <w:b w:val="0"/>
                <w:bCs/>
                <w:color w:val="auto"/>
                <w:kern w:val="2"/>
                <w:sz w:val="24"/>
                <w:szCs w:val="24"/>
                <w:highlight w:val="none"/>
                <w:lang w:val="en-US" w:eastAsia="zh-CN" w:bidi="ar-SA"/>
              </w:rPr>
              <w:t>班制，每班</w:t>
            </w:r>
            <w:r>
              <w:rPr>
                <w:rFonts w:hint="default" w:ascii="Times New Roman" w:hAnsi="Times New Roman" w:cs="Times New Roman"/>
                <w:b w:val="0"/>
                <w:bCs/>
                <w:color w:val="auto"/>
                <w:kern w:val="2"/>
                <w:sz w:val="24"/>
                <w:szCs w:val="24"/>
                <w:highlight w:val="none"/>
                <w:lang w:val="en-US" w:eastAsia="zh-CN" w:bidi="ar-SA"/>
              </w:rPr>
              <w:t>1</w:t>
            </w:r>
            <w:r>
              <w:rPr>
                <w:rFonts w:hint="eastAsia" w:cs="Times New Roman"/>
                <w:b w:val="0"/>
                <w:bCs/>
                <w:color w:val="auto"/>
                <w:kern w:val="2"/>
                <w:sz w:val="24"/>
                <w:szCs w:val="24"/>
                <w:highlight w:val="none"/>
                <w:lang w:val="en-US" w:eastAsia="zh-CN" w:bidi="ar-SA"/>
              </w:rPr>
              <w:t>0</w:t>
            </w:r>
            <w:r>
              <w:rPr>
                <w:rFonts w:hint="default" w:ascii="Times New Roman" w:hAnsi="Times New Roman" w:eastAsia="宋体" w:cs="Times New Roman"/>
                <w:b w:val="0"/>
                <w:bCs/>
                <w:color w:val="auto"/>
                <w:kern w:val="2"/>
                <w:sz w:val="24"/>
                <w:szCs w:val="24"/>
                <w:highlight w:val="none"/>
                <w:lang w:val="en-US" w:eastAsia="zh-CN" w:bidi="ar-SA"/>
              </w:rPr>
              <w:t>h），本项目拟在搅拌机通气口设置1套布袋除尘器（除尘效率99.</w:t>
            </w:r>
            <w:r>
              <w:rPr>
                <w:rFonts w:hint="default" w:ascii="Times New Roman" w:hAnsi="Times New Roman"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%，风量为</w:t>
            </w:r>
            <w:r>
              <w:rPr>
                <w:rFonts w:hint="default" w:ascii="Times New Roman" w:hAnsi="Times New Roman" w:cs="Times New Roman"/>
                <w:b w:val="0"/>
                <w:bCs/>
                <w:color w:val="auto"/>
                <w:kern w:val="2"/>
                <w:sz w:val="24"/>
                <w:szCs w:val="24"/>
                <w:highlight w:val="none"/>
                <w:lang w:val="en-US" w:eastAsia="zh-CN" w:bidi="ar-SA"/>
              </w:rPr>
              <w:t>8</w:t>
            </w:r>
            <w:r>
              <w:rPr>
                <w:rFonts w:hint="default" w:ascii="Times New Roman" w:hAnsi="Times New Roman" w:eastAsia="宋体" w:cs="Times New Roman"/>
                <w:b w:val="0"/>
                <w:bCs/>
                <w:color w:val="auto"/>
                <w:kern w:val="2"/>
                <w:sz w:val="24"/>
                <w:szCs w:val="24"/>
                <w:highlight w:val="none"/>
                <w:lang w:val="en-US" w:eastAsia="zh-CN" w:bidi="ar-SA"/>
              </w:rPr>
              <w:t>000m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/h，年工作</w:t>
            </w:r>
            <w:r>
              <w:rPr>
                <w:rFonts w:hint="eastAsia" w:cs="Times New Roman"/>
                <w:b w:val="0"/>
                <w:bCs/>
                <w:color w:val="auto"/>
                <w:kern w:val="2"/>
                <w:sz w:val="24"/>
                <w:szCs w:val="24"/>
                <w:highlight w:val="none"/>
                <w:lang w:val="en-US" w:eastAsia="zh-CN" w:bidi="ar-SA"/>
              </w:rPr>
              <w:t>100</w:t>
            </w:r>
            <w:r>
              <w:rPr>
                <w:rFonts w:hint="default" w:ascii="Times New Roman" w:hAnsi="Times New Roman" w:cs="Times New Roman"/>
                <w:b w:val="0"/>
                <w:bCs/>
                <w:color w:val="auto"/>
                <w:kern w:val="2"/>
                <w:sz w:val="24"/>
                <w:szCs w:val="24"/>
                <w:highlight w:val="none"/>
                <w:lang w:val="en-US" w:eastAsia="zh-CN" w:bidi="ar-SA"/>
              </w:rPr>
              <w:t>0</w:t>
            </w:r>
            <w:r>
              <w:rPr>
                <w:rFonts w:hint="default" w:ascii="Times New Roman" w:hAnsi="Times New Roman" w:eastAsia="宋体" w:cs="Times New Roman"/>
                <w:b w:val="0"/>
                <w:bCs/>
                <w:color w:val="auto"/>
                <w:kern w:val="2"/>
                <w:sz w:val="24"/>
                <w:szCs w:val="24"/>
                <w:highlight w:val="none"/>
                <w:lang w:val="en-US" w:eastAsia="zh-CN" w:bidi="ar-SA"/>
              </w:rPr>
              <w:t>h），处理后</w:t>
            </w:r>
            <w:r>
              <w:rPr>
                <w:rFonts w:hint="eastAsia" w:cs="Times New Roman"/>
                <w:b w:val="0"/>
                <w:bCs/>
                <w:color w:val="auto"/>
                <w:kern w:val="2"/>
                <w:sz w:val="24"/>
                <w:szCs w:val="24"/>
                <w:highlight w:val="none"/>
                <w:lang w:val="en-US" w:eastAsia="zh-CN" w:bidi="ar-SA"/>
              </w:rPr>
              <w:t>无组织</w:t>
            </w:r>
            <w:r>
              <w:rPr>
                <w:rFonts w:hint="default" w:ascii="Times New Roman" w:hAnsi="Times New Roman" w:eastAsia="宋体" w:cs="Times New Roman"/>
                <w:b w:val="0"/>
                <w:bCs/>
                <w:color w:val="auto"/>
                <w:kern w:val="2"/>
                <w:sz w:val="24"/>
                <w:szCs w:val="24"/>
                <w:highlight w:val="none"/>
                <w:lang w:val="en-US" w:eastAsia="zh-CN" w:bidi="ar-SA"/>
              </w:rPr>
              <w:t>排放，经计算搅拌过程粉尘排放量为</w:t>
            </w:r>
            <w:r>
              <w:rPr>
                <w:rFonts w:hint="eastAsia" w:cs="Times New Roman"/>
                <w:b w:val="0"/>
                <w:bCs/>
                <w:color w:val="auto"/>
                <w:kern w:val="2"/>
                <w:sz w:val="24"/>
                <w:szCs w:val="24"/>
                <w:highlight w:val="none"/>
                <w:lang w:val="en-US" w:eastAsia="zh-CN" w:bidi="ar-SA"/>
              </w:rPr>
              <w:t>0.024</w:t>
            </w:r>
            <w:r>
              <w:rPr>
                <w:rFonts w:hint="default" w:ascii="Times New Roman" w:hAnsi="Times New Roman" w:eastAsia="宋体" w:cs="Times New Roman"/>
                <w:b w:val="0"/>
                <w:bCs/>
                <w:color w:val="auto"/>
                <w:kern w:val="2"/>
                <w:sz w:val="24"/>
                <w:szCs w:val="24"/>
                <w:highlight w:val="none"/>
                <w:lang w:val="en-US" w:eastAsia="zh-CN" w:bidi="ar-SA"/>
              </w:rPr>
              <w:t>t/a，排放速率为</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24</w:t>
            </w:r>
            <w:r>
              <w:rPr>
                <w:rFonts w:hint="default" w:ascii="Times New Roman" w:hAnsi="Times New Roman" w:eastAsia="宋体" w:cs="Times New Roman"/>
                <w:b w:val="0"/>
                <w:bCs/>
                <w:color w:val="auto"/>
                <w:kern w:val="2"/>
                <w:sz w:val="24"/>
                <w:szCs w:val="24"/>
                <w:highlight w:val="none"/>
                <w:lang w:val="en-US" w:eastAsia="zh-CN" w:bidi="ar-SA"/>
              </w:rPr>
              <w:t>kg/h，排放浓度为</w:t>
            </w:r>
            <w:r>
              <w:rPr>
                <w:rFonts w:hint="eastAsia" w:cs="Times New Roman"/>
                <w:b w:val="0"/>
                <w:bCs/>
                <w:color w:val="auto"/>
                <w:kern w:val="2"/>
                <w:sz w:val="24"/>
                <w:szCs w:val="24"/>
                <w:highlight w:val="none"/>
                <w:lang w:val="en-US" w:eastAsia="zh-CN" w:bidi="ar-SA"/>
              </w:rPr>
              <w:t>3.05</w:t>
            </w:r>
            <w:r>
              <w:rPr>
                <w:rFonts w:hint="default" w:ascii="Times New Roman" w:hAnsi="Times New Roman" w:eastAsia="宋体" w:cs="Times New Roman"/>
                <w:b w:val="0"/>
                <w:bCs/>
                <w:color w:val="auto"/>
                <w:kern w:val="2"/>
                <w:sz w:val="24"/>
                <w:szCs w:val="24"/>
                <w:highlight w:val="none"/>
                <w:lang w:val="en-US" w:eastAsia="zh-CN" w:bidi="ar-SA"/>
              </w:rPr>
              <w:t>mg/m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本项目废气污染物源源强核算结果及相关参数见表</w:t>
            </w:r>
            <w:r>
              <w:rPr>
                <w:rFonts w:hint="default" w:ascii="Times New Roman" w:hAnsi="Times New Roman" w:cs="Times New Roman"/>
                <w:color w:val="auto"/>
                <w:sz w:val="24"/>
                <w:highlight w:val="none"/>
              </w:rPr>
              <w:t>4</w:t>
            </w:r>
            <w:r>
              <w:rPr>
                <w:rFonts w:hint="eastAsia"/>
                <w:color w:val="auto"/>
                <w:sz w:val="24"/>
                <w:highlight w:val="none"/>
              </w:rPr>
              <w:t>-</w:t>
            </w:r>
            <w:r>
              <w:rPr>
                <w:rFonts w:hint="default" w:ascii="Times New Roman" w:hAnsi="Times New Roman" w:cs="Times New Roman"/>
                <w:color w:val="auto"/>
                <w:sz w:val="24"/>
                <w:highlight w:val="none"/>
                <w:lang w:val="en-US" w:eastAsia="zh-CN"/>
              </w:rPr>
              <w:t>1</w:t>
            </w:r>
            <w:r>
              <w:rPr>
                <w:color w:val="auto"/>
                <w:sz w:val="24"/>
                <w:highlight w:val="none"/>
              </w:rPr>
              <w:t>。</w:t>
            </w:r>
          </w:p>
          <w:p>
            <w:pPr>
              <w:pStyle w:val="53"/>
              <w:spacing w:line="240" w:lineRule="auto"/>
              <w:ind w:firstLine="0" w:firstLineChars="0"/>
              <w:jc w:val="center"/>
              <w:rPr>
                <w:rFonts w:ascii="Times New Roman" w:hAnsi="Times New Roman" w:cs="Times New Roman"/>
                <w:b/>
                <w:bCs/>
                <w:color w:val="auto"/>
                <w:highlight w:val="none"/>
              </w:rPr>
            </w:pPr>
            <w:r>
              <w:rPr>
                <w:rFonts w:ascii="Times New Roman" w:hAnsi="Times New Roman" w:cs="Times New Roman"/>
                <w:b/>
                <w:bCs/>
                <w:color w:val="auto"/>
                <w:highlight w:val="none"/>
              </w:rPr>
              <w:t>表</w:t>
            </w:r>
            <w:r>
              <w:rPr>
                <w:rFonts w:hint="default" w:ascii="Times New Roman" w:hAnsi="Times New Roman" w:cs="Times New Roman"/>
                <w:b/>
                <w:bCs/>
                <w:color w:val="auto"/>
                <w:highlight w:val="none"/>
              </w:rPr>
              <w:t>4</w:t>
            </w:r>
            <w:r>
              <w:rPr>
                <w:rFonts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1</w:t>
            </w:r>
            <w:r>
              <w:rPr>
                <w:rFonts w:hint="eastAsia" w:ascii="Times New Roman" w:hAnsi="Times New Roman" w:cs="Times New Roman"/>
                <w:b/>
                <w:bCs/>
                <w:color w:val="auto"/>
                <w:highlight w:val="none"/>
              </w:rPr>
              <w:t xml:space="preserve">  </w:t>
            </w:r>
            <w:r>
              <w:rPr>
                <w:rFonts w:ascii="Times New Roman" w:hAnsi="Times New Roman" w:cs="Times New Roman"/>
                <w:b/>
                <w:bCs/>
                <w:color w:val="auto"/>
                <w:highlight w:val="none"/>
              </w:rPr>
              <w:t>废气污染物源源强核算结果及相关参数一览表</w:t>
            </w:r>
          </w:p>
          <w:tbl>
            <w:tblPr>
              <w:tblStyle w:val="32"/>
              <w:tblW w:w="884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89"/>
              <w:gridCol w:w="555"/>
              <w:gridCol w:w="391"/>
              <w:gridCol w:w="388"/>
              <w:gridCol w:w="391"/>
              <w:gridCol w:w="532"/>
              <w:gridCol w:w="667"/>
              <w:gridCol w:w="591"/>
              <w:gridCol w:w="564"/>
              <w:gridCol w:w="718"/>
              <w:gridCol w:w="487"/>
              <w:gridCol w:w="391"/>
              <w:gridCol w:w="388"/>
              <w:gridCol w:w="532"/>
              <w:gridCol w:w="667"/>
              <w:gridCol w:w="591"/>
              <w:gridCol w:w="60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jc w:val="center"/>
              </w:trPr>
              <w:tc>
                <w:tcPr>
                  <w:tcW w:w="389" w:type="dxa"/>
                  <w:vMerge w:val="restart"/>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生产线</w:t>
                  </w:r>
                </w:p>
              </w:tc>
              <w:tc>
                <w:tcPr>
                  <w:tcW w:w="555" w:type="dxa"/>
                  <w:vMerge w:val="restart"/>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污染源</w:t>
                  </w:r>
                </w:p>
              </w:tc>
              <w:tc>
                <w:tcPr>
                  <w:tcW w:w="391" w:type="dxa"/>
                  <w:vMerge w:val="restart"/>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排放方式</w:t>
                  </w:r>
                </w:p>
              </w:tc>
              <w:tc>
                <w:tcPr>
                  <w:tcW w:w="388" w:type="dxa"/>
                  <w:vMerge w:val="restart"/>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污染物</w:t>
                  </w:r>
                </w:p>
              </w:tc>
              <w:tc>
                <w:tcPr>
                  <w:tcW w:w="2745" w:type="dxa"/>
                  <w:gridSpan w:val="5"/>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污染物产生</w:t>
                  </w:r>
                </w:p>
              </w:tc>
              <w:tc>
                <w:tcPr>
                  <w:tcW w:w="1596" w:type="dxa"/>
                  <w:gridSpan w:val="3"/>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治理措施</w:t>
                  </w:r>
                </w:p>
              </w:tc>
              <w:tc>
                <w:tcPr>
                  <w:tcW w:w="2780" w:type="dxa"/>
                  <w:gridSpan w:val="5"/>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污染物排放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5" w:hRule="atLeast"/>
                <w:jc w:val="center"/>
              </w:trPr>
              <w:tc>
                <w:tcPr>
                  <w:tcW w:w="389" w:type="dxa"/>
                  <w:vMerge w:val="continue"/>
                  <w:noWrap w:val="0"/>
                  <w:vAlign w:val="center"/>
                </w:tcPr>
                <w:p>
                  <w:pPr>
                    <w:widowControl/>
                    <w:spacing w:line="300" w:lineRule="exact"/>
                    <w:jc w:val="center"/>
                    <w:rPr>
                      <w:rFonts w:hint="default"/>
                      <w:bCs/>
                      <w:color w:val="auto"/>
                      <w:spacing w:val="-10"/>
                      <w:sz w:val="18"/>
                      <w:szCs w:val="18"/>
                      <w:highlight w:val="none"/>
                    </w:rPr>
                  </w:pPr>
                </w:p>
              </w:tc>
              <w:tc>
                <w:tcPr>
                  <w:tcW w:w="555" w:type="dxa"/>
                  <w:vMerge w:val="continue"/>
                  <w:noWrap w:val="0"/>
                  <w:vAlign w:val="center"/>
                </w:tcPr>
                <w:p>
                  <w:pPr>
                    <w:widowControl/>
                    <w:spacing w:line="300" w:lineRule="exact"/>
                    <w:jc w:val="center"/>
                    <w:rPr>
                      <w:rFonts w:hint="default"/>
                      <w:bCs/>
                      <w:color w:val="auto"/>
                      <w:spacing w:val="-10"/>
                      <w:sz w:val="18"/>
                      <w:szCs w:val="18"/>
                      <w:highlight w:val="none"/>
                    </w:rPr>
                  </w:pPr>
                </w:p>
              </w:tc>
              <w:tc>
                <w:tcPr>
                  <w:tcW w:w="391" w:type="dxa"/>
                  <w:vMerge w:val="continue"/>
                  <w:noWrap w:val="0"/>
                  <w:vAlign w:val="center"/>
                </w:tcPr>
                <w:p>
                  <w:pPr>
                    <w:widowControl/>
                    <w:spacing w:line="300" w:lineRule="exact"/>
                    <w:jc w:val="center"/>
                    <w:rPr>
                      <w:rFonts w:hint="default"/>
                      <w:bCs/>
                      <w:color w:val="auto"/>
                      <w:spacing w:val="-10"/>
                      <w:sz w:val="18"/>
                      <w:szCs w:val="18"/>
                      <w:highlight w:val="none"/>
                    </w:rPr>
                  </w:pPr>
                </w:p>
              </w:tc>
              <w:tc>
                <w:tcPr>
                  <w:tcW w:w="388" w:type="dxa"/>
                  <w:vMerge w:val="continue"/>
                  <w:noWrap w:val="0"/>
                  <w:vAlign w:val="center"/>
                </w:tcPr>
                <w:p>
                  <w:pPr>
                    <w:widowControl/>
                    <w:spacing w:line="300" w:lineRule="exact"/>
                    <w:jc w:val="center"/>
                    <w:rPr>
                      <w:rFonts w:hint="default"/>
                      <w:bCs/>
                      <w:color w:val="auto"/>
                      <w:spacing w:val="-10"/>
                      <w:sz w:val="18"/>
                      <w:szCs w:val="18"/>
                      <w:highlight w:val="none"/>
                    </w:rPr>
                  </w:pPr>
                </w:p>
              </w:tc>
              <w:tc>
                <w:tcPr>
                  <w:tcW w:w="391" w:type="dxa"/>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核算方法</w:t>
                  </w:r>
                </w:p>
              </w:tc>
              <w:tc>
                <w:tcPr>
                  <w:tcW w:w="532" w:type="dxa"/>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废气量</w:t>
                  </w:r>
                  <w:r>
                    <w:rPr>
                      <w:rFonts w:hint="default" w:ascii="Times New Roman" w:hAnsi="Times New Roman" w:cs="Times New Roman"/>
                      <w:bCs/>
                      <w:color w:val="auto"/>
                      <w:spacing w:val="-10"/>
                      <w:kern w:val="0"/>
                      <w:sz w:val="18"/>
                      <w:szCs w:val="18"/>
                      <w:highlight w:val="none"/>
                      <w:lang w:bidi="ar"/>
                    </w:rPr>
                    <w:t>m</w:t>
                  </w:r>
                  <w:r>
                    <w:rPr>
                      <w:rFonts w:hint="default" w:ascii="Times New Roman" w:hAnsi="Times New Roman" w:cs="Times New Roman"/>
                      <w:bCs/>
                      <w:color w:val="auto"/>
                      <w:spacing w:val="-10"/>
                      <w:kern w:val="0"/>
                      <w:sz w:val="18"/>
                      <w:szCs w:val="18"/>
                      <w:highlight w:val="none"/>
                      <w:vertAlign w:val="superscript"/>
                      <w:lang w:bidi="ar"/>
                    </w:rPr>
                    <w:t>3</w:t>
                  </w:r>
                  <w:r>
                    <w:rPr>
                      <w:rFonts w:hint="default"/>
                      <w:bCs/>
                      <w:color w:val="auto"/>
                      <w:spacing w:val="-10"/>
                      <w:kern w:val="0"/>
                      <w:sz w:val="18"/>
                      <w:szCs w:val="18"/>
                      <w:highlight w:val="none"/>
                      <w:lang w:bidi="ar"/>
                    </w:rPr>
                    <w:t>/</w:t>
                  </w:r>
                  <w:r>
                    <w:rPr>
                      <w:rFonts w:hint="default" w:ascii="Times New Roman" w:hAnsi="Times New Roman" w:cs="Times New Roman"/>
                      <w:bCs/>
                      <w:color w:val="auto"/>
                      <w:spacing w:val="-10"/>
                      <w:kern w:val="0"/>
                      <w:sz w:val="18"/>
                      <w:szCs w:val="18"/>
                      <w:highlight w:val="none"/>
                      <w:lang w:bidi="ar"/>
                    </w:rPr>
                    <w:t>h</w:t>
                  </w:r>
                </w:p>
              </w:tc>
              <w:tc>
                <w:tcPr>
                  <w:tcW w:w="667" w:type="dxa"/>
                  <w:noWrap w:val="0"/>
                  <w:vAlign w:val="center"/>
                </w:tcPr>
                <w:p>
                  <w:pPr>
                    <w:widowControl/>
                    <w:spacing w:line="300" w:lineRule="exact"/>
                    <w:jc w:val="center"/>
                    <w:textAlignment w:val="center"/>
                    <w:rPr>
                      <w:rFonts w:hint="default"/>
                      <w:bCs/>
                      <w:color w:val="auto"/>
                      <w:spacing w:val="-10"/>
                      <w:kern w:val="0"/>
                      <w:sz w:val="18"/>
                      <w:szCs w:val="18"/>
                      <w:highlight w:val="none"/>
                      <w:lang w:bidi="ar"/>
                    </w:rPr>
                  </w:pPr>
                  <w:r>
                    <w:rPr>
                      <w:rFonts w:hint="default"/>
                      <w:bCs/>
                      <w:color w:val="auto"/>
                      <w:spacing w:val="-10"/>
                      <w:kern w:val="0"/>
                      <w:sz w:val="18"/>
                      <w:szCs w:val="18"/>
                      <w:highlight w:val="none"/>
                      <w:lang w:bidi="ar"/>
                    </w:rPr>
                    <w:t>产生</w:t>
                  </w:r>
                </w:p>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浓度</w:t>
                  </w:r>
                  <w:r>
                    <w:rPr>
                      <w:rFonts w:hint="default" w:ascii="Times New Roman" w:hAnsi="Times New Roman" w:cs="Times New Roman"/>
                      <w:bCs/>
                      <w:color w:val="auto"/>
                      <w:spacing w:val="-10"/>
                      <w:kern w:val="0"/>
                      <w:sz w:val="18"/>
                      <w:szCs w:val="18"/>
                      <w:highlight w:val="none"/>
                      <w:lang w:bidi="ar"/>
                    </w:rPr>
                    <w:t>mg</w:t>
                  </w:r>
                  <w:r>
                    <w:rPr>
                      <w:rFonts w:hint="default"/>
                      <w:bCs/>
                      <w:color w:val="auto"/>
                      <w:spacing w:val="-10"/>
                      <w:kern w:val="0"/>
                      <w:sz w:val="18"/>
                      <w:szCs w:val="18"/>
                      <w:highlight w:val="none"/>
                      <w:lang w:bidi="ar"/>
                    </w:rPr>
                    <w:t>/</w:t>
                  </w:r>
                  <w:r>
                    <w:rPr>
                      <w:rFonts w:hint="default" w:ascii="Times New Roman" w:hAnsi="Times New Roman" w:cs="Times New Roman"/>
                      <w:bCs/>
                      <w:color w:val="auto"/>
                      <w:spacing w:val="-10"/>
                      <w:kern w:val="0"/>
                      <w:sz w:val="18"/>
                      <w:szCs w:val="18"/>
                      <w:highlight w:val="none"/>
                      <w:lang w:bidi="ar"/>
                    </w:rPr>
                    <w:t>m</w:t>
                  </w:r>
                  <w:r>
                    <w:rPr>
                      <w:rFonts w:hint="default" w:ascii="Times New Roman" w:hAnsi="Times New Roman" w:cs="Times New Roman"/>
                      <w:bCs/>
                      <w:color w:val="auto"/>
                      <w:spacing w:val="-10"/>
                      <w:kern w:val="0"/>
                      <w:sz w:val="18"/>
                      <w:szCs w:val="18"/>
                      <w:highlight w:val="none"/>
                      <w:vertAlign w:val="superscript"/>
                      <w:lang w:bidi="ar"/>
                    </w:rPr>
                    <w:t>3</w:t>
                  </w:r>
                </w:p>
              </w:tc>
              <w:tc>
                <w:tcPr>
                  <w:tcW w:w="591" w:type="dxa"/>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产生量</w:t>
                  </w:r>
                  <w:r>
                    <w:rPr>
                      <w:rFonts w:hint="default" w:ascii="Times New Roman" w:hAnsi="Times New Roman" w:cs="Times New Roman"/>
                      <w:bCs/>
                      <w:color w:val="auto"/>
                      <w:spacing w:val="-10"/>
                      <w:kern w:val="0"/>
                      <w:sz w:val="18"/>
                      <w:szCs w:val="18"/>
                      <w:highlight w:val="none"/>
                      <w:lang w:bidi="ar"/>
                    </w:rPr>
                    <w:t>kg</w:t>
                  </w:r>
                  <w:r>
                    <w:rPr>
                      <w:rFonts w:hint="default"/>
                      <w:bCs/>
                      <w:color w:val="auto"/>
                      <w:spacing w:val="-10"/>
                      <w:kern w:val="0"/>
                      <w:sz w:val="18"/>
                      <w:szCs w:val="18"/>
                      <w:highlight w:val="none"/>
                      <w:lang w:bidi="ar"/>
                    </w:rPr>
                    <w:t>/</w:t>
                  </w:r>
                  <w:r>
                    <w:rPr>
                      <w:rFonts w:hint="default" w:ascii="Times New Roman" w:hAnsi="Times New Roman" w:cs="Times New Roman"/>
                      <w:bCs/>
                      <w:color w:val="auto"/>
                      <w:spacing w:val="-10"/>
                      <w:kern w:val="0"/>
                      <w:sz w:val="18"/>
                      <w:szCs w:val="18"/>
                      <w:highlight w:val="none"/>
                      <w:lang w:bidi="ar"/>
                    </w:rPr>
                    <w:t>h</w:t>
                  </w:r>
                </w:p>
              </w:tc>
              <w:tc>
                <w:tcPr>
                  <w:tcW w:w="564" w:type="dxa"/>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年产生量</w:t>
                  </w:r>
                  <w:r>
                    <w:rPr>
                      <w:rFonts w:hint="default" w:ascii="Times New Roman" w:hAnsi="Times New Roman" w:cs="Times New Roman"/>
                      <w:bCs/>
                      <w:color w:val="auto"/>
                      <w:spacing w:val="-10"/>
                      <w:kern w:val="0"/>
                      <w:sz w:val="18"/>
                      <w:szCs w:val="18"/>
                      <w:highlight w:val="none"/>
                      <w:lang w:bidi="ar"/>
                    </w:rPr>
                    <w:t>t</w:t>
                  </w:r>
                  <w:r>
                    <w:rPr>
                      <w:rFonts w:hint="default"/>
                      <w:bCs/>
                      <w:color w:val="auto"/>
                      <w:spacing w:val="-10"/>
                      <w:kern w:val="0"/>
                      <w:sz w:val="18"/>
                      <w:szCs w:val="18"/>
                      <w:highlight w:val="none"/>
                      <w:lang w:bidi="ar"/>
                    </w:rPr>
                    <w:t>/</w:t>
                  </w:r>
                  <w:r>
                    <w:rPr>
                      <w:rFonts w:hint="default" w:ascii="Times New Roman" w:hAnsi="Times New Roman" w:cs="Times New Roman"/>
                      <w:bCs/>
                      <w:color w:val="auto"/>
                      <w:spacing w:val="-10"/>
                      <w:kern w:val="0"/>
                      <w:sz w:val="18"/>
                      <w:szCs w:val="18"/>
                      <w:highlight w:val="none"/>
                      <w:lang w:bidi="ar"/>
                    </w:rPr>
                    <w:t>a</w:t>
                  </w:r>
                </w:p>
              </w:tc>
              <w:tc>
                <w:tcPr>
                  <w:tcW w:w="718" w:type="dxa"/>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工艺</w:t>
                  </w:r>
                </w:p>
              </w:tc>
              <w:tc>
                <w:tcPr>
                  <w:tcW w:w="487" w:type="dxa"/>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效率%</w:t>
                  </w:r>
                </w:p>
              </w:tc>
              <w:tc>
                <w:tcPr>
                  <w:tcW w:w="391" w:type="dxa"/>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是否可行技术</w:t>
                  </w:r>
                </w:p>
              </w:tc>
              <w:tc>
                <w:tcPr>
                  <w:tcW w:w="388" w:type="dxa"/>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核算方法</w:t>
                  </w:r>
                </w:p>
              </w:tc>
              <w:tc>
                <w:tcPr>
                  <w:tcW w:w="532" w:type="dxa"/>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废气量</w:t>
                  </w:r>
                  <w:r>
                    <w:rPr>
                      <w:rFonts w:hint="default" w:ascii="Times New Roman" w:hAnsi="Times New Roman" w:cs="Times New Roman"/>
                      <w:bCs/>
                      <w:color w:val="auto"/>
                      <w:spacing w:val="-10"/>
                      <w:kern w:val="0"/>
                      <w:sz w:val="18"/>
                      <w:szCs w:val="18"/>
                      <w:highlight w:val="none"/>
                      <w:lang w:bidi="ar"/>
                    </w:rPr>
                    <w:t>m</w:t>
                  </w:r>
                  <w:r>
                    <w:rPr>
                      <w:rFonts w:hint="default" w:ascii="Times New Roman" w:hAnsi="Times New Roman" w:cs="Times New Roman"/>
                      <w:bCs/>
                      <w:color w:val="auto"/>
                      <w:spacing w:val="-10"/>
                      <w:kern w:val="0"/>
                      <w:sz w:val="18"/>
                      <w:szCs w:val="18"/>
                      <w:highlight w:val="none"/>
                      <w:vertAlign w:val="superscript"/>
                      <w:lang w:bidi="ar"/>
                    </w:rPr>
                    <w:t>3</w:t>
                  </w:r>
                  <w:r>
                    <w:rPr>
                      <w:rFonts w:hint="default"/>
                      <w:bCs/>
                      <w:color w:val="auto"/>
                      <w:spacing w:val="-10"/>
                      <w:kern w:val="0"/>
                      <w:sz w:val="18"/>
                      <w:szCs w:val="18"/>
                      <w:highlight w:val="none"/>
                      <w:lang w:bidi="ar"/>
                    </w:rPr>
                    <w:t>/</w:t>
                  </w:r>
                  <w:r>
                    <w:rPr>
                      <w:rFonts w:hint="default" w:ascii="Times New Roman" w:hAnsi="Times New Roman" w:cs="Times New Roman"/>
                      <w:bCs/>
                      <w:color w:val="auto"/>
                      <w:spacing w:val="-10"/>
                      <w:kern w:val="0"/>
                      <w:sz w:val="18"/>
                      <w:szCs w:val="18"/>
                      <w:highlight w:val="none"/>
                      <w:lang w:bidi="ar"/>
                    </w:rPr>
                    <w:t>h</w:t>
                  </w:r>
                </w:p>
              </w:tc>
              <w:tc>
                <w:tcPr>
                  <w:tcW w:w="667" w:type="dxa"/>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排放浓度</w:t>
                  </w:r>
                  <w:r>
                    <w:rPr>
                      <w:rFonts w:hint="default" w:ascii="Times New Roman" w:hAnsi="Times New Roman" w:cs="Times New Roman"/>
                      <w:bCs/>
                      <w:color w:val="auto"/>
                      <w:spacing w:val="-10"/>
                      <w:kern w:val="0"/>
                      <w:sz w:val="18"/>
                      <w:szCs w:val="18"/>
                      <w:highlight w:val="none"/>
                      <w:lang w:bidi="ar"/>
                    </w:rPr>
                    <w:t>mg</w:t>
                  </w:r>
                  <w:r>
                    <w:rPr>
                      <w:rFonts w:hint="default"/>
                      <w:bCs/>
                      <w:color w:val="auto"/>
                      <w:spacing w:val="-10"/>
                      <w:kern w:val="0"/>
                      <w:sz w:val="18"/>
                      <w:szCs w:val="18"/>
                      <w:highlight w:val="none"/>
                      <w:lang w:bidi="ar"/>
                    </w:rPr>
                    <w:t>/</w:t>
                  </w:r>
                  <w:r>
                    <w:rPr>
                      <w:rFonts w:hint="default" w:ascii="Times New Roman" w:hAnsi="Times New Roman" w:cs="Times New Roman"/>
                      <w:bCs/>
                      <w:color w:val="auto"/>
                      <w:spacing w:val="-10"/>
                      <w:kern w:val="0"/>
                      <w:sz w:val="18"/>
                      <w:szCs w:val="18"/>
                      <w:highlight w:val="none"/>
                      <w:lang w:bidi="ar"/>
                    </w:rPr>
                    <w:t>m</w:t>
                  </w:r>
                  <w:r>
                    <w:rPr>
                      <w:rFonts w:hint="default" w:ascii="Times New Roman" w:hAnsi="Times New Roman" w:cs="Times New Roman"/>
                      <w:bCs/>
                      <w:color w:val="auto"/>
                      <w:spacing w:val="-10"/>
                      <w:kern w:val="0"/>
                      <w:sz w:val="18"/>
                      <w:szCs w:val="18"/>
                      <w:highlight w:val="none"/>
                      <w:vertAlign w:val="superscript"/>
                      <w:lang w:bidi="ar"/>
                    </w:rPr>
                    <w:t>3</w:t>
                  </w:r>
                </w:p>
              </w:tc>
              <w:tc>
                <w:tcPr>
                  <w:tcW w:w="591" w:type="dxa"/>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排放量</w:t>
                  </w:r>
                  <w:r>
                    <w:rPr>
                      <w:rFonts w:hint="default" w:ascii="Times New Roman" w:hAnsi="Times New Roman" w:cs="Times New Roman"/>
                      <w:bCs/>
                      <w:color w:val="auto"/>
                      <w:spacing w:val="-10"/>
                      <w:kern w:val="0"/>
                      <w:sz w:val="18"/>
                      <w:szCs w:val="18"/>
                      <w:highlight w:val="none"/>
                      <w:lang w:bidi="ar"/>
                    </w:rPr>
                    <w:t>kg</w:t>
                  </w:r>
                  <w:r>
                    <w:rPr>
                      <w:rFonts w:hint="default"/>
                      <w:bCs/>
                      <w:color w:val="auto"/>
                      <w:spacing w:val="-10"/>
                      <w:kern w:val="0"/>
                      <w:sz w:val="18"/>
                      <w:szCs w:val="18"/>
                      <w:highlight w:val="none"/>
                      <w:lang w:bidi="ar"/>
                    </w:rPr>
                    <w:t>/</w:t>
                  </w:r>
                  <w:r>
                    <w:rPr>
                      <w:rFonts w:hint="default" w:ascii="Times New Roman" w:hAnsi="Times New Roman" w:cs="Times New Roman"/>
                      <w:bCs/>
                      <w:color w:val="auto"/>
                      <w:spacing w:val="-10"/>
                      <w:kern w:val="0"/>
                      <w:sz w:val="18"/>
                      <w:szCs w:val="18"/>
                      <w:highlight w:val="none"/>
                      <w:lang w:bidi="ar"/>
                    </w:rPr>
                    <w:t>h</w:t>
                  </w:r>
                </w:p>
              </w:tc>
              <w:tc>
                <w:tcPr>
                  <w:tcW w:w="602" w:type="dxa"/>
                  <w:noWrap w:val="0"/>
                  <w:vAlign w:val="center"/>
                </w:tcPr>
                <w:p>
                  <w:pPr>
                    <w:widowControl/>
                    <w:spacing w:line="300" w:lineRule="exact"/>
                    <w:jc w:val="center"/>
                    <w:textAlignment w:val="center"/>
                    <w:rPr>
                      <w:rFonts w:hint="default"/>
                      <w:bCs/>
                      <w:color w:val="auto"/>
                      <w:spacing w:val="-10"/>
                      <w:sz w:val="18"/>
                      <w:szCs w:val="18"/>
                      <w:highlight w:val="none"/>
                    </w:rPr>
                  </w:pPr>
                  <w:r>
                    <w:rPr>
                      <w:rFonts w:hint="default"/>
                      <w:bCs/>
                      <w:color w:val="auto"/>
                      <w:spacing w:val="-10"/>
                      <w:kern w:val="0"/>
                      <w:sz w:val="18"/>
                      <w:szCs w:val="18"/>
                      <w:highlight w:val="none"/>
                      <w:lang w:bidi="ar"/>
                    </w:rPr>
                    <w:t>年排放量</w:t>
                  </w:r>
                  <w:r>
                    <w:rPr>
                      <w:rFonts w:hint="default" w:ascii="Times New Roman" w:hAnsi="Times New Roman" w:cs="Times New Roman"/>
                      <w:bCs/>
                      <w:color w:val="auto"/>
                      <w:spacing w:val="-10"/>
                      <w:kern w:val="0"/>
                      <w:sz w:val="18"/>
                      <w:szCs w:val="18"/>
                      <w:highlight w:val="none"/>
                      <w:lang w:bidi="ar"/>
                    </w:rPr>
                    <w:t>t</w:t>
                  </w:r>
                  <w:r>
                    <w:rPr>
                      <w:rFonts w:hint="default"/>
                      <w:bCs/>
                      <w:color w:val="auto"/>
                      <w:spacing w:val="-10"/>
                      <w:kern w:val="0"/>
                      <w:sz w:val="18"/>
                      <w:szCs w:val="18"/>
                      <w:highlight w:val="none"/>
                      <w:lang w:bidi="ar"/>
                    </w:rPr>
                    <w:t>/</w:t>
                  </w:r>
                  <w:r>
                    <w:rPr>
                      <w:rFonts w:hint="default" w:ascii="Times New Roman" w:hAnsi="Times New Roman" w:cs="Times New Roman"/>
                      <w:bCs/>
                      <w:color w:val="auto"/>
                      <w:spacing w:val="-10"/>
                      <w:kern w:val="0"/>
                      <w:sz w:val="18"/>
                      <w:szCs w:val="18"/>
                      <w:highlight w:val="none"/>
                      <w:lang w:bidi="ar"/>
                    </w:rPr>
                    <w: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jc w:val="center"/>
              </w:trPr>
              <w:tc>
                <w:tcPr>
                  <w:tcW w:w="389" w:type="dxa"/>
                  <w:vMerge w:val="restart"/>
                  <w:noWrap w:val="0"/>
                  <w:vAlign w:val="center"/>
                </w:tcPr>
                <w:p>
                  <w:pPr>
                    <w:widowControl/>
                    <w:spacing w:line="300" w:lineRule="exact"/>
                    <w:jc w:val="center"/>
                    <w:textAlignment w:val="center"/>
                    <w:rPr>
                      <w:rFonts w:hint="default"/>
                      <w:color w:val="auto"/>
                      <w:spacing w:val="-10"/>
                      <w:sz w:val="18"/>
                      <w:szCs w:val="18"/>
                      <w:highlight w:val="none"/>
                    </w:rPr>
                  </w:pPr>
                  <w:r>
                    <w:rPr>
                      <w:color w:val="auto"/>
                      <w:spacing w:val="-10"/>
                      <w:kern w:val="0"/>
                      <w:sz w:val="18"/>
                      <w:szCs w:val="18"/>
                      <w:highlight w:val="none"/>
                      <w:lang w:bidi="ar"/>
                    </w:rPr>
                    <w:t>罐呼吸</w:t>
                  </w:r>
                </w:p>
              </w:tc>
              <w:tc>
                <w:tcPr>
                  <w:tcW w:w="555" w:type="dxa"/>
                  <w:noWrap w:val="0"/>
                  <w:vAlign w:val="center"/>
                </w:tcPr>
                <w:p>
                  <w:pPr>
                    <w:widowControl/>
                    <w:spacing w:line="300" w:lineRule="exact"/>
                    <w:jc w:val="center"/>
                    <w:textAlignment w:val="center"/>
                    <w:rPr>
                      <w:rFonts w:hint="default"/>
                      <w:color w:val="auto"/>
                      <w:spacing w:val="-10"/>
                      <w:sz w:val="18"/>
                      <w:szCs w:val="18"/>
                      <w:highlight w:val="none"/>
                    </w:rPr>
                  </w:pPr>
                  <w:r>
                    <w:rPr>
                      <w:color w:val="auto"/>
                      <w:spacing w:val="-10"/>
                      <w:sz w:val="18"/>
                      <w:szCs w:val="18"/>
                      <w:highlight w:val="none"/>
                    </w:rPr>
                    <w:t>水泥筒仓</w:t>
                  </w:r>
                </w:p>
              </w:tc>
              <w:tc>
                <w:tcPr>
                  <w:tcW w:w="391" w:type="dxa"/>
                  <w:noWrap w:val="0"/>
                  <w:vAlign w:val="center"/>
                </w:tcPr>
                <w:p>
                  <w:pPr>
                    <w:widowControl/>
                    <w:spacing w:line="300" w:lineRule="exact"/>
                    <w:jc w:val="center"/>
                    <w:textAlignment w:val="center"/>
                    <w:rPr>
                      <w:rFonts w:hint="default"/>
                      <w:color w:val="auto"/>
                      <w:spacing w:val="-10"/>
                      <w:sz w:val="18"/>
                      <w:szCs w:val="18"/>
                      <w:highlight w:val="none"/>
                    </w:rPr>
                  </w:pPr>
                  <w:r>
                    <w:rPr>
                      <w:rFonts w:hint="default"/>
                      <w:color w:val="auto"/>
                      <w:spacing w:val="-10"/>
                      <w:kern w:val="0"/>
                      <w:sz w:val="18"/>
                      <w:szCs w:val="18"/>
                      <w:highlight w:val="none"/>
                      <w:lang w:bidi="ar"/>
                    </w:rPr>
                    <w:t>无组织</w:t>
                  </w:r>
                </w:p>
              </w:tc>
              <w:tc>
                <w:tcPr>
                  <w:tcW w:w="388" w:type="dxa"/>
                  <w:noWrap w:val="0"/>
                  <w:vAlign w:val="center"/>
                </w:tcPr>
                <w:p>
                  <w:pPr>
                    <w:widowControl/>
                    <w:spacing w:line="300" w:lineRule="exact"/>
                    <w:jc w:val="center"/>
                    <w:textAlignment w:val="center"/>
                    <w:rPr>
                      <w:rFonts w:hint="default"/>
                      <w:color w:val="auto"/>
                      <w:spacing w:val="-10"/>
                      <w:sz w:val="18"/>
                      <w:szCs w:val="18"/>
                      <w:highlight w:val="none"/>
                    </w:rPr>
                  </w:pPr>
                  <w:r>
                    <w:rPr>
                      <w:rFonts w:hint="default"/>
                      <w:color w:val="auto"/>
                      <w:spacing w:val="-10"/>
                      <w:kern w:val="0"/>
                      <w:sz w:val="18"/>
                      <w:szCs w:val="18"/>
                      <w:highlight w:val="none"/>
                      <w:lang w:bidi="ar"/>
                    </w:rPr>
                    <w:t>颗粒物</w:t>
                  </w:r>
                </w:p>
              </w:tc>
              <w:tc>
                <w:tcPr>
                  <w:tcW w:w="391" w:type="dxa"/>
                  <w:noWrap w:val="0"/>
                  <w:vAlign w:val="center"/>
                </w:tcPr>
                <w:p>
                  <w:pPr>
                    <w:widowControl/>
                    <w:spacing w:line="300" w:lineRule="exact"/>
                    <w:jc w:val="center"/>
                    <w:textAlignment w:val="center"/>
                    <w:rPr>
                      <w:rFonts w:hint="default"/>
                      <w:color w:val="auto"/>
                      <w:spacing w:val="-10"/>
                      <w:sz w:val="18"/>
                      <w:szCs w:val="18"/>
                      <w:highlight w:val="none"/>
                    </w:rPr>
                  </w:pPr>
                  <w:r>
                    <w:rPr>
                      <w:color w:val="auto"/>
                      <w:spacing w:val="-10"/>
                      <w:sz w:val="18"/>
                      <w:szCs w:val="18"/>
                      <w:highlight w:val="none"/>
                    </w:rPr>
                    <w:t>系数法</w:t>
                  </w:r>
                </w:p>
              </w:tc>
              <w:tc>
                <w:tcPr>
                  <w:tcW w:w="532" w:type="dxa"/>
                  <w:noWrap w:val="0"/>
                  <w:vAlign w:val="center"/>
                </w:tcPr>
                <w:p>
                  <w:pPr>
                    <w:widowControl/>
                    <w:spacing w:line="300" w:lineRule="exact"/>
                    <w:jc w:val="center"/>
                    <w:textAlignment w:val="center"/>
                    <w:rPr>
                      <w:rFonts w:hint="default"/>
                      <w:color w:val="auto"/>
                      <w:spacing w:val="-10"/>
                      <w:sz w:val="18"/>
                      <w:szCs w:val="18"/>
                      <w:highlight w:val="none"/>
                    </w:rPr>
                  </w:pPr>
                  <w:r>
                    <w:rPr>
                      <w:color w:val="auto"/>
                      <w:spacing w:val="-10"/>
                      <w:kern w:val="0"/>
                      <w:sz w:val="18"/>
                      <w:szCs w:val="18"/>
                      <w:highlight w:val="none"/>
                      <w:lang w:bidi="ar"/>
                    </w:rPr>
                    <w:t>/</w:t>
                  </w:r>
                </w:p>
              </w:tc>
              <w:tc>
                <w:tcPr>
                  <w:tcW w:w="667" w:type="dxa"/>
                  <w:noWrap w:val="0"/>
                  <w:vAlign w:val="center"/>
                </w:tcPr>
                <w:p>
                  <w:pPr>
                    <w:widowControl/>
                    <w:spacing w:line="300" w:lineRule="exact"/>
                    <w:jc w:val="center"/>
                    <w:textAlignment w:val="center"/>
                    <w:rPr>
                      <w:rFonts w:hint="default"/>
                      <w:color w:val="auto"/>
                      <w:spacing w:val="-10"/>
                      <w:sz w:val="18"/>
                      <w:szCs w:val="18"/>
                      <w:highlight w:val="none"/>
                    </w:rPr>
                  </w:pPr>
                  <w:r>
                    <w:rPr>
                      <w:color w:val="auto"/>
                      <w:spacing w:val="-10"/>
                      <w:kern w:val="0"/>
                      <w:sz w:val="18"/>
                      <w:szCs w:val="18"/>
                      <w:highlight w:val="none"/>
                      <w:lang w:bidi="ar"/>
                    </w:rPr>
                    <w:t>/</w:t>
                  </w:r>
                </w:p>
              </w:tc>
              <w:tc>
                <w:tcPr>
                  <w:tcW w:w="591" w:type="dxa"/>
                  <w:noWrap w:val="0"/>
                  <w:vAlign w:val="center"/>
                </w:tcPr>
                <w:p>
                  <w:pPr>
                    <w:widowControl/>
                    <w:spacing w:line="300" w:lineRule="exact"/>
                    <w:jc w:val="center"/>
                    <w:textAlignment w:val="center"/>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4.8</w:t>
                  </w:r>
                </w:p>
              </w:tc>
              <w:tc>
                <w:tcPr>
                  <w:tcW w:w="564" w:type="dxa"/>
                  <w:noWrap w:val="0"/>
                  <w:vAlign w:val="center"/>
                </w:tcPr>
                <w:p>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0.924</w:t>
                  </w:r>
                </w:p>
              </w:tc>
              <w:tc>
                <w:tcPr>
                  <w:tcW w:w="718" w:type="dxa"/>
                  <w:noWrap w:val="0"/>
                  <w:vAlign w:val="center"/>
                </w:tcPr>
                <w:p>
                  <w:pPr>
                    <w:widowControl/>
                    <w:spacing w:line="300" w:lineRule="exact"/>
                    <w:jc w:val="center"/>
                    <w:textAlignment w:val="center"/>
                    <w:rPr>
                      <w:rFonts w:hint="default"/>
                      <w:color w:val="auto"/>
                      <w:spacing w:val="-10"/>
                      <w:sz w:val="18"/>
                      <w:szCs w:val="18"/>
                      <w:highlight w:val="none"/>
                    </w:rPr>
                  </w:pPr>
                  <w:r>
                    <w:rPr>
                      <w:bCs/>
                      <w:color w:val="auto"/>
                      <w:spacing w:val="-10"/>
                      <w:sz w:val="18"/>
                      <w:szCs w:val="18"/>
                      <w:highlight w:val="none"/>
                    </w:rPr>
                    <w:t>布袋除尘器</w:t>
                  </w:r>
                </w:p>
              </w:tc>
              <w:tc>
                <w:tcPr>
                  <w:tcW w:w="487" w:type="dxa"/>
                  <w:noWrap w:val="0"/>
                  <w:vAlign w:val="center"/>
                </w:tcPr>
                <w:p>
                  <w:pPr>
                    <w:widowControl/>
                    <w:spacing w:line="300" w:lineRule="exact"/>
                    <w:jc w:val="center"/>
                    <w:textAlignment w:val="center"/>
                    <w:rPr>
                      <w:rFonts w:hint="default" w:eastAsia="宋体"/>
                      <w:color w:val="auto"/>
                      <w:spacing w:val="-10"/>
                      <w:sz w:val="18"/>
                      <w:szCs w:val="18"/>
                      <w:highlight w:val="none"/>
                      <w:lang w:val="en-US" w:eastAsia="zh-CN"/>
                    </w:rPr>
                  </w:pPr>
                  <w:r>
                    <w:rPr>
                      <w:rFonts w:hint="default" w:ascii="Times New Roman" w:hAnsi="Times New Roman" w:cs="Times New Roman"/>
                      <w:color w:val="auto"/>
                      <w:spacing w:val="-10"/>
                      <w:kern w:val="0"/>
                      <w:sz w:val="18"/>
                      <w:szCs w:val="18"/>
                      <w:highlight w:val="none"/>
                      <w:lang w:bidi="ar"/>
                    </w:rPr>
                    <w:t>99</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5</w:t>
                  </w:r>
                </w:p>
              </w:tc>
              <w:tc>
                <w:tcPr>
                  <w:tcW w:w="391" w:type="dxa"/>
                  <w:noWrap w:val="0"/>
                  <w:vAlign w:val="center"/>
                </w:tcPr>
                <w:p>
                  <w:pPr>
                    <w:widowControl/>
                    <w:spacing w:line="300" w:lineRule="exact"/>
                    <w:jc w:val="center"/>
                    <w:textAlignment w:val="center"/>
                    <w:rPr>
                      <w:rFonts w:hint="default"/>
                      <w:color w:val="auto"/>
                      <w:spacing w:val="-10"/>
                      <w:sz w:val="18"/>
                      <w:szCs w:val="18"/>
                      <w:highlight w:val="none"/>
                    </w:rPr>
                  </w:pPr>
                  <w:r>
                    <w:rPr>
                      <w:rFonts w:hint="default"/>
                      <w:color w:val="auto"/>
                      <w:spacing w:val="-10"/>
                      <w:kern w:val="0"/>
                      <w:sz w:val="18"/>
                      <w:szCs w:val="18"/>
                      <w:highlight w:val="none"/>
                      <w:lang w:bidi="ar"/>
                    </w:rPr>
                    <w:t>是</w:t>
                  </w:r>
                </w:p>
              </w:tc>
              <w:tc>
                <w:tcPr>
                  <w:tcW w:w="388" w:type="dxa"/>
                  <w:noWrap w:val="0"/>
                  <w:vAlign w:val="center"/>
                </w:tcPr>
                <w:p>
                  <w:pPr>
                    <w:widowControl/>
                    <w:spacing w:line="300" w:lineRule="exact"/>
                    <w:jc w:val="center"/>
                    <w:textAlignment w:val="center"/>
                    <w:rPr>
                      <w:rFonts w:hint="default"/>
                      <w:color w:val="auto"/>
                      <w:spacing w:val="-10"/>
                      <w:sz w:val="18"/>
                      <w:szCs w:val="18"/>
                      <w:highlight w:val="none"/>
                    </w:rPr>
                  </w:pPr>
                  <w:r>
                    <w:rPr>
                      <w:color w:val="auto"/>
                      <w:spacing w:val="-10"/>
                      <w:sz w:val="18"/>
                      <w:szCs w:val="18"/>
                      <w:highlight w:val="none"/>
                    </w:rPr>
                    <w:t>系数法</w:t>
                  </w:r>
                </w:p>
              </w:tc>
              <w:tc>
                <w:tcPr>
                  <w:tcW w:w="532" w:type="dxa"/>
                  <w:noWrap w:val="0"/>
                  <w:vAlign w:val="center"/>
                </w:tcPr>
                <w:p>
                  <w:pPr>
                    <w:widowControl/>
                    <w:spacing w:line="300" w:lineRule="exact"/>
                    <w:jc w:val="center"/>
                    <w:textAlignment w:val="center"/>
                    <w:rPr>
                      <w:rFonts w:hint="default"/>
                      <w:color w:val="auto"/>
                      <w:spacing w:val="-10"/>
                      <w:sz w:val="18"/>
                      <w:szCs w:val="18"/>
                      <w:highlight w:val="none"/>
                    </w:rPr>
                  </w:pPr>
                  <w:r>
                    <w:rPr>
                      <w:color w:val="auto"/>
                      <w:spacing w:val="-10"/>
                      <w:kern w:val="0"/>
                      <w:sz w:val="18"/>
                      <w:szCs w:val="18"/>
                      <w:highlight w:val="none"/>
                      <w:lang w:bidi="ar"/>
                    </w:rPr>
                    <w:t>/</w:t>
                  </w:r>
                </w:p>
              </w:tc>
              <w:tc>
                <w:tcPr>
                  <w:tcW w:w="667" w:type="dxa"/>
                  <w:noWrap w:val="0"/>
                  <w:vAlign w:val="center"/>
                </w:tcPr>
                <w:p>
                  <w:pPr>
                    <w:widowControl/>
                    <w:spacing w:line="300" w:lineRule="exact"/>
                    <w:jc w:val="center"/>
                    <w:textAlignment w:val="center"/>
                    <w:rPr>
                      <w:rFonts w:hint="default"/>
                      <w:color w:val="auto"/>
                      <w:spacing w:val="-10"/>
                      <w:sz w:val="18"/>
                      <w:szCs w:val="18"/>
                      <w:highlight w:val="none"/>
                    </w:rPr>
                  </w:pPr>
                  <w:r>
                    <w:rPr>
                      <w:color w:val="auto"/>
                      <w:spacing w:val="-10"/>
                      <w:kern w:val="0"/>
                      <w:sz w:val="18"/>
                      <w:szCs w:val="18"/>
                      <w:highlight w:val="none"/>
                      <w:lang w:bidi="ar"/>
                    </w:rPr>
                    <w:t>/</w:t>
                  </w:r>
                </w:p>
              </w:tc>
              <w:tc>
                <w:tcPr>
                  <w:tcW w:w="591" w:type="dxa"/>
                  <w:noWrap w:val="0"/>
                  <w:vAlign w:val="center"/>
                </w:tcPr>
                <w:p>
                  <w:pPr>
                    <w:widowControl/>
                    <w:spacing w:line="300" w:lineRule="exact"/>
                    <w:jc w:val="center"/>
                    <w:textAlignment w:val="center"/>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0.024</w:t>
                  </w:r>
                </w:p>
              </w:tc>
              <w:tc>
                <w:tcPr>
                  <w:tcW w:w="602" w:type="dxa"/>
                  <w:noWrap w:val="0"/>
                  <w:vAlign w:val="center"/>
                </w:tcPr>
                <w:p>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26" w:hRule="atLeast"/>
                <w:jc w:val="center"/>
              </w:trPr>
              <w:tc>
                <w:tcPr>
                  <w:tcW w:w="389" w:type="dxa"/>
                  <w:vMerge w:val="continue"/>
                  <w:noWrap w:val="0"/>
                  <w:vAlign w:val="center"/>
                </w:tcPr>
                <w:p>
                  <w:pPr>
                    <w:widowControl/>
                    <w:spacing w:line="300" w:lineRule="exact"/>
                    <w:jc w:val="center"/>
                    <w:textAlignment w:val="center"/>
                    <w:rPr>
                      <w:color w:val="auto"/>
                      <w:spacing w:val="-10"/>
                      <w:kern w:val="0"/>
                      <w:sz w:val="18"/>
                      <w:szCs w:val="18"/>
                      <w:highlight w:val="none"/>
                      <w:lang w:bidi="ar"/>
                    </w:rPr>
                  </w:pPr>
                </w:p>
              </w:tc>
              <w:tc>
                <w:tcPr>
                  <w:tcW w:w="555" w:type="dxa"/>
                  <w:noWrap w:val="0"/>
                  <w:vAlign w:val="center"/>
                </w:tcPr>
                <w:p>
                  <w:pPr>
                    <w:widowControl/>
                    <w:spacing w:line="300" w:lineRule="exact"/>
                    <w:jc w:val="center"/>
                    <w:textAlignment w:val="center"/>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粉煤灰筒仓</w:t>
                  </w:r>
                </w:p>
              </w:tc>
              <w:tc>
                <w:tcPr>
                  <w:tcW w:w="391" w:type="dxa"/>
                  <w:noWrap w:val="0"/>
                  <w:vAlign w:val="center"/>
                </w:tcPr>
                <w:p>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无组织</w:t>
                  </w:r>
                </w:p>
              </w:tc>
              <w:tc>
                <w:tcPr>
                  <w:tcW w:w="388" w:type="dxa"/>
                  <w:noWrap w:val="0"/>
                  <w:vAlign w:val="center"/>
                </w:tcPr>
                <w:p>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颗粒物</w:t>
                  </w:r>
                </w:p>
              </w:tc>
              <w:tc>
                <w:tcPr>
                  <w:tcW w:w="391" w:type="dxa"/>
                  <w:noWrap w:val="0"/>
                  <w:vAlign w:val="center"/>
                </w:tcPr>
                <w:p>
                  <w:pPr>
                    <w:widowControl/>
                    <w:spacing w:line="300" w:lineRule="exact"/>
                    <w:jc w:val="center"/>
                    <w:textAlignment w:val="center"/>
                    <w:rPr>
                      <w:color w:val="auto"/>
                      <w:spacing w:val="-10"/>
                      <w:sz w:val="18"/>
                      <w:szCs w:val="18"/>
                      <w:highlight w:val="none"/>
                    </w:rPr>
                  </w:pPr>
                  <w:r>
                    <w:rPr>
                      <w:color w:val="auto"/>
                      <w:spacing w:val="-10"/>
                      <w:sz w:val="18"/>
                      <w:szCs w:val="18"/>
                      <w:highlight w:val="none"/>
                    </w:rPr>
                    <w:t>系数法</w:t>
                  </w:r>
                </w:p>
              </w:tc>
              <w:tc>
                <w:tcPr>
                  <w:tcW w:w="532" w:type="dxa"/>
                  <w:noWrap w:val="0"/>
                  <w:vAlign w:val="center"/>
                </w:tcPr>
                <w:p>
                  <w:pPr>
                    <w:widowControl/>
                    <w:spacing w:line="300" w:lineRule="exact"/>
                    <w:jc w:val="center"/>
                    <w:textAlignment w:val="center"/>
                    <w:rPr>
                      <w:color w:val="auto"/>
                      <w:spacing w:val="-10"/>
                      <w:kern w:val="0"/>
                      <w:sz w:val="18"/>
                      <w:szCs w:val="18"/>
                      <w:highlight w:val="none"/>
                      <w:lang w:bidi="ar"/>
                    </w:rPr>
                  </w:pPr>
                  <w:r>
                    <w:rPr>
                      <w:color w:val="auto"/>
                      <w:spacing w:val="-10"/>
                      <w:kern w:val="0"/>
                      <w:sz w:val="18"/>
                      <w:szCs w:val="18"/>
                      <w:highlight w:val="none"/>
                      <w:lang w:bidi="ar"/>
                    </w:rPr>
                    <w:t>/</w:t>
                  </w:r>
                </w:p>
              </w:tc>
              <w:tc>
                <w:tcPr>
                  <w:tcW w:w="667" w:type="dxa"/>
                  <w:noWrap w:val="0"/>
                  <w:vAlign w:val="center"/>
                </w:tcPr>
                <w:p>
                  <w:pPr>
                    <w:widowControl/>
                    <w:spacing w:line="300" w:lineRule="exact"/>
                    <w:jc w:val="center"/>
                    <w:textAlignment w:val="center"/>
                    <w:rPr>
                      <w:color w:val="auto"/>
                      <w:spacing w:val="-10"/>
                      <w:kern w:val="0"/>
                      <w:sz w:val="18"/>
                      <w:szCs w:val="18"/>
                      <w:highlight w:val="none"/>
                      <w:lang w:bidi="ar"/>
                    </w:rPr>
                  </w:pPr>
                  <w:r>
                    <w:rPr>
                      <w:color w:val="auto"/>
                      <w:spacing w:val="-10"/>
                      <w:kern w:val="0"/>
                      <w:sz w:val="18"/>
                      <w:szCs w:val="18"/>
                      <w:highlight w:val="none"/>
                      <w:lang w:bidi="ar"/>
                    </w:rPr>
                    <w:t>/</w:t>
                  </w:r>
                </w:p>
              </w:tc>
              <w:tc>
                <w:tcPr>
                  <w:tcW w:w="591" w:type="dxa"/>
                  <w:noWrap w:val="0"/>
                  <w:vAlign w:val="center"/>
                </w:tcPr>
                <w:p>
                  <w:pPr>
                    <w:widowControl/>
                    <w:spacing w:line="300" w:lineRule="exact"/>
                    <w:jc w:val="center"/>
                    <w:textAlignment w:val="center"/>
                    <w:rPr>
                      <w:rFonts w:hint="default"/>
                      <w:color w:val="auto"/>
                      <w:spacing w:val="-10"/>
                      <w:sz w:val="18"/>
                      <w:szCs w:val="18"/>
                      <w:highlight w:val="none"/>
                      <w:lang w:val="en-US" w:eastAsia="zh-CN"/>
                    </w:rPr>
                  </w:pPr>
                  <w:r>
                    <w:rPr>
                      <w:rFonts w:hint="eastAsia"/>
                      <w:color w:val="auto"/>
                      <w:spacing w:val="-10"/>
                      <w:sz w:val="18"/>
                      <w:szCs w:val="18"/>
                      <w:highlight w:val="none"/>
                      <w:lang w:val="en-US" w:eastAsia="zh-CN"/>
                    </w:rPr>
                    <w:t>4.8</w:t>
                  </w:r>
                </w:p>
              </w:tc>
              <w:tc>
                <w:tcPr>
                  <w:tcW w:w="564"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0.078</w:t>
                  </w:r>
                </w:p>
              </w:tc>
              <w:tc>
                <w:tcPr>
                  <w:tcW w:w="718" w:type="dxa"/>
                  <w:noWrap w:val="0"/>
                  <w:vAlign w:val="center"/>
                </w:tcPr>
                <w:p>
                  <w:pPr>
                    <w:widowControl/>
                    <w:spacing w:line="300" w:lineRule="exact"/>
                    <w:jc w:val="center"/>
                    <w:textAlignment w:val="center"/>
                    <w:rPr>
                      <w:bCs/>
                      <w:color w:val="auto"/>
                      <w:spacing w:val="-10"/>
                      <w:sz w:val="18"/>
                      <w:szCs w:val="18"/>
                      <w:highlight w:val="none"/>
                    </w:rPr>
                  </w:pPr>
                  <w:r>
                    <w:rPr>
                      <w:bCs/>
                      <w:color w:val="auto"/>
                      <w:spacing w:val="-10"/>
                      <w:sz w:val="18"/>
                      <w:szCs w:val="18"/>
                      <w:highlight w:val="none"/>
                    </w:rPr>
                    <w:t>布袋除尘器</w:t>
                  </w:r>
                </w:p>
              </w:tc>
              <w:tc>
                <w:tcPr>
                  <w:tcW w:w="487" w:type="dxa"/>
                  <w:noWrap w:val="0"/>
                  <w:vAlign w:val="center"/>
                </w:tcPr>
                <w:p>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bidi="ar"/>
                    </w:rPr>
                    <w:t>99</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5</w:t>
                  </w:r>
                </w:p>
              </w:tc>
              <w:tc>
                <w:tcPr>
                  <w:tcW w:w="391" w:type="dxa"/>
                  <w:noWrap w:val="0"/>
                  <w:vAlign w:val="center"/>
                </w:tcPr>
                <w:p>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是</w:t>
                  </w:r>
                </w:p>
              </w:tc>
              <w:tc>
                <w:tcPr>
                  <w:tcW w:w="388" w:type="dxa"/>
                  <w:noWrap w:val="0"/>
                  <w:vAlign w:val="center"/>
                </w:tcPr>
                <w:p>
                  <w:pPr>
                    <w:widowControl/>
                    <w:spacing w:line="300" w:lineRule="exact"/>
                    <w:jc w:val="center"/>
                    <w:textAlignment w:val="center"/>
                    <w:rPr>
                      <w:color w:val="auto"/>
                      <w:spacing w:val="-10"/>
                      <w:sz w:val="18"/>
                      <w:szCs w:val="18"/>
                      <w:highlight w:val="none"/>
                    </w:rPr>
                  </w:pPr>
                  <w:r>
                    <w:rPr>
                      <w:color w:val="auto"/>
                      <w:spacing w:val="-10"/>
                      <w:sz w:val="18"/>
                      <w:szCs w:val="18"/>
                      <w:highlight w:val="none"/>
                    </w:rPr>
                    <w:t>系数法</w:t>
                  </w:r>
                </w:p>
              </w:tc>
              <w:tc>
                <w:tcPr>
                  <w:tcW w:w="532" w:type="dxa"/>
                  <w:noWrap w:val="0"/>
                  <w:vAlign w:val="center"/>
                </w:tcPr>
                <w:p>
                  <w:pPr>
                    <w:widowControl/>
                    <w:spacing w:line="300" w:lineRule="exact"/>
                    <w:jc w:val="center"/>
                    <w:textAlignment w:val="center"/>
                    <w:rPr>
                      <w:color w:val="auto"/>
                      <w:spacing w:val="-10"/>
                      <w:kern w:val="0"/>
                      <w:sz w:val="18"/>
                      <w:szCs w:val="18"/>
                      <w:highlight w:val="none"/>
                      <w:lang w:bidi="ar"/>
                    </w:rPr>
                  </w:pPr>
                  <w:r>
                    <w:rPr>
                      <w:color w:val="auto"/>
                      <w:spacing w:val="-10"/>
                      <w:kern w:val="0"/>
                      <w:sz w:val="18"/>
                      <w:szCs w:val="18"/>
                      <w:highlight w:val="none"/>
                      <w:lang w:bidi="ar"/>
                    </w:rPr>
                    <w:t>/</w:t>
                  </w:r>
                </w:p>
              </w:tc>
              <w:tc>
                <w:tcPr>
                  <w:tcW w:w="667" w:type="dxa"/>
                  <w:noWrap w:val="0"/>
                  <w:vAlign w:val="center"/>
                </w:tcPr>
                <w:p>
                  <w:pPr>
                    <w:widowControl/>
                    <w:spacing w:line="300" w:lineRule="exact"/>
                    <w:jc w:val="center"/>
                    <w:textAlignment w:val="center"/>
                    <w:rPr>
                      <w:color w:val="auto"/>
                      <w:spacing w:val="-10"/>
                      <w:kern w:val="0"/>
                      <w:sz w:val="18"/>
                      <w:szCs w:val="18"/>
                      <w:highlight w:val="none"/>
                      <w:lang w:bidi="ar"/>
                    </w:rPr>
                  </w:pPr>
                  <w:r>
                    <w:rPr>
                      <w:color w:val="auto"/>
                      <w:spacing w:val="-10"/>
                      <w:kern w:val="0"/>
                      <w:sz w:val="18"/>
                      <w:szCs w:val="18"/>
                      <w:highlight w:val="none"/>
                      <w:lang w:bidi="ar"/>
                    </w:rPr>
                    <w:t>/</w:t>
                  </w:r>
                </w:p>
              </w:tc>
              <w:tc>
                <w:tcPr>
                  <w:tcW w:w="591"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0.024</w:t>
                  </w:r>
                </w:p>
              </w:tc>
              <w:tc>
                <w:tcPr>
                  <w:tcW w:w="602"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0.0004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jc w:val="center"/>
              </w:trPr>
              <w:tc>
                <w:tcPr>
                  <w:tcW w:w="389" w:type="dxa"/>
                  <w:vMerge w:val="restart"/>
                  <w:noWrap w:val="0"/>
                  <w:vAlign w:val="center"/>
                </w:tcPr>
                <w:p>
                  <w:pPr>
                    <w:pStyle w:val="76"/>
                    <w:adjustRightInd w:val="0"/>
                    <w:snapToGrid w:val="0"/>
                    <w:spacing w:line="300" w:lineRule="exact"/>
                    <w:rPr>
                      <w:rFonts w:hint="default"/>
                      <w:color w:val="auto"/>
                      <w:spacing w:val="-10"/>
                      <w:sz w:val="18"/>
                      <w:szCs w:val="18"/>
                      <w:highlight w:val="none"/>
                    </w:rPr>
                  </w:pPr>
                  <w:r>
                    <w:rPr>
                      <w:color w:val="auto"/>
                      <w:spacing w:val="-10"/>
                      <w:sz w:val="18"/>
                      <w:szCs w:val="18"/>
                      <w:highlight w:val="none"/>
                    </w:rPr>
                    <w:t>砂石储存和转运</w:t>
                  </w:r>
                </w:p>
              </w:tc>
              <w:tc>
                <w:tcPr>
                  <w:tcW w:w="555" w:type="dxa"/>
                  <w:noWrap w:val="0"/>
                  <w:vAlign w:val="center"/>
                </w:tcPr>
                <w:p>
                  <w:pPr>
                    <w:pStyle w:val="76"/>
                    <w:adjustRightInd w:val="0"/>
                    <w:snapToGrid w:val="0"/>
                    <w:spacing w:line="300" w:lineRule="exact"/>
                    <w:rPr>
                      <w:color w:val="auto"/>
                      <w:spacing w:val="-10"/>
                      <w:sz w:val="18"/>
                      <w:szCs w:val="18"/>
                      <w:highlight w:val="none"/>
                    </w:rPr>
                  </w:pPr>
                  <w:r>
                    <w:rPr>
                      <w:color w:val="auto"/>
                      <w:spacing w:val="-10"/>
                      <w:sz w:val="18"/>
                      <w:szCs w:val="18"/>
                      <w:highlight w:val="none"/>
                    </w:rPr>
                    <w:t>卸料、堆放</w:t>
                  </w:r>
                </w:p>
              </w:tc>
              <w:tc>
                <w:tcPr>
                  <w:tcW w:w="391" w:type="dxa"/>
                  <w:noWrap w:val="0"/>
                  <w:vAlign w:val="center"/>
                </w:tcPr>
                <w:p>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无组织</w:t>
                  </w:r>
                </w:p>
              </w:tc>
              <w:tc>
                <w:tcPr>
                  <w:tcW w:w="388" w:type="dxa"/>
                  <w:noWrap w:val="0"/>
                  <w:vAlign w:val="center"/>
                </w:tcPr>
                <w:p>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颗粒物</w:t>
                  </w:r>
                </w:p>
              </w:tc>
              <w:tc>
                <w:tcPr>
                  <w:tcW w:w="391" w:type="dxa"/>
                  <w:noWrap w:val="0"/>
                  <w:vAlign w:val="center"/>
                </w:tcPr>
                <w:p>
                  <w:pPr>
                    <w:widowControl/>
                    <w:spacing w:line="300" w:lineRule="exact"/>
                    <w:jc w:val="center"/>
                    <w:textAlignment w:val="center"/>
                    <w:rPr>
                      <w:color w:val="auto"/>
                      <w:spacing w:val="-10"/>
                      <w:sz w:val="18"/>
                      <w:szCs w:val="18"/>
                      <w:highlight w:val="none"/>
                    </w:rPr>
                  </w:pPr>
                  <w:r>
                    <w:rPr>
                      <w:color w:val="auto"/>
                      <w:spacing w:val="-10"/>
                      <w:sz w:val="18"/>
                      <w:szCs w:val="18"/>
                      <w:highlight w:val="none"/>
                    </w:rPr>
                    <w:t>系数法</w:t>
                  </w:r>
                </w:p>
              </w:tc>
              <w:tc>
                <w:tcPr>
                  <w:tcW w:w="532" w:type="dxa"/>
                  <w:noWrap w:val="0"/>
                  <w:vAlign w:val="center"/>
                </w:tcPr>
                <w:p>
                  <w:pPr>
                    <w:widowControl/>
                    <w:spacing w:line="300" w:lineRule="exact"/>
                    <w:jc w:val="center"/>
                    <w:textAlignment w:val="center"/>
                    <w:rPr>
                      <w:color w:val="auto"/>
                      <w:spacing w:val="-10"/>
                      <w:kern w:val="0"/>
                      <w:sz w:val="18"/>
                      <w:szCs w:val="18"/>
                      <w:highlight w:val="none"/>
                      <w:lang w:bidi="ar"/>
                    </w:rPr>
                  </w:pPr>
                  <w:r>
                    <w:rPr>
                      <w:color w:val="auto"/>
                      <w:spacing w:val="-10"/>
                      <w:kern w:val="0"/>
                      <w:sz w:val="18"/>
                      <w:szCs w:val="18"/>
                      <w:highlight w:val="none"/>
                      <w:lang w:bidi="ar"/>
                    </w:rPr>
                    <w:t>/</w:t>
                  </w:r>
                </w:p>
              </w:tc>
              <w:tc>
                <w:tcPr>
                  <w:tcW w:w="667" w:type="dxa"/>
                  <w:noWrap w:val="0"/>
                  <w:vAlign w:val="center"/>
                </w:tcPr>
                <w:p>
                  <w:pPr>
                    <w:widowControl/>
                    <w:spacing w:line="300" w:lineRule="exact"/>
                    <w:jc w:val="center"/>
                    <w:textAlignment w:val="center"/>
                    <w:rPr>
                      <w:color w:val="auto"/>
                      <w:spacing w:val="-10"/>
                      <w:kern w:val="0"/>
                      <w:sz w:val="18"/>
                      <w:szCs w:val="18"/>
                      <w:highlight w:val="none"/>
                      <w:lang w:bidi="ar"/>
                    </w:rPr>
                  </w:pPr>
                  <w:r>
                    <w:rPr>
                      <w:color w:val="auto"/>
                      <w:spacing w:val="-10"/>
                      <w:kern w:val="0"/>
                      <w:sz w:val="18"/>
                      <w:szCs w:val="18"/>
                      <w:highlight w:val="none"/>
                      <w:lang w:bidi="ar"/>
                    </w:rPr>
                    <w:t>/</w:t>
                  </w:r>
                </w:p>
              </w:tc>
              <w:tc>
                <w:tcPr>
                  <w:tcW w:w="591" w:type="dxa"/>
                  <w:noWrap w:val="0"/>
                  <w:vAlign w:val="center"/>
                </w:tcPr>
                <w:p>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2.02</w:t>
                  </w:r>
                </w:p>
              </w:tc>
              <w:tc>
                <w:tcPr>
                  <w:tcW w:w="564" w:type="dxa"/>
                  <w:noWrap w:val="0"/>
                  <w:vAlign w:val="center"/>
                </w:tcPr>
                <w:p>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4.86</w:t>
                  </w:r>
                </w:p>
              </w:tc>
              <w:tc>
                <w:tcPr>
                  <w:tcW w:w="718" w:type="dxa"/>
                  <w:noWrap w:val="0"/>
                  <w:vAlign w:val="center"/>
                </w:tcPr>
                <w:p>
                  <w:pPr>
                    <w:jc w:val="center"/>
                    <w:rPr>
                      <w:rFonts w:hint="default" w:eastAsia="宋体"/>
                      <w:bCs/>
                      <w:color w:val="auto"/>
                      <w:spacing w:val="-10"/>
                      <w:sz w:val="18"/>
                      <w:szCs w:val="18"/>
                      <w:highlight w:val="none"/>
                      <w:lang w:val="en-US" w:eastAsia="zh-CN"/>
                    </w:rPr>
                  </w:pPr>
                  <w:r>
                    <w:rPr>
                      <w:rFonts w:hint="eastAsia" w:ascii="Times New Roman" w:hAnsi="Times New Roman" w:cs="Times New Roman"/>
                      <w:bCs/>
                      <w:color w:val="auto"/>
                      <w:szCs w:val="21"/>
                      <w:highlight w:val="none"/>
                      <w:lang w:eastAsia="zh-CN"/>
                    </w:rPr>
                    <w:t>防风抑尘网</w:t>
                  </w:r>
                  <w:r>
                    <w:rPr>
                      <w:rFonts w:hint="default" w:ascii="Times New Roman" w:hAnsi="Times New Roman" w:cs="Times New Roman"/>
                      <w:bCs/>
                      <w:color w:val="auto"/>
                      <w:szCs w:val="21"/>
                      <w:highlight w:val="none"/>
                    </w:rPr>
                    <w:t>+</w:t>
                  </w:r>
                  <w:r>
                    <w:rPr>
                      <w:rFonts w:hint="eastAsia" w:ascii="Times New Roman" w:hAnsi="Times New Roman" w:cs="Times New Roman"/>
                      <w:bCs/>
                      <w:color w:val="auto"/>
                      <w:szCs w:val="21"/>
                      <w:highlight w:val="none"/>
                      <w:lang w:eastAsia="zh-CN"/>
                    </w:rPr>
                    <w:t>洒水抑尘</w:t>
                  </w:r>
                </w:p>
              </w:tc>
              <w:tc>
                <w:tcPr>
                  <w:tcW w:w="487" w:type="dxa"/>
                  <w:noWrap w:val="0"/>
                  <w:vAlign w:val="center"/>
                </w:tcPr>
                <w:p>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89</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5</w:t>
                  </w:r>
                </w:p>
              </w:tc>
              <w:tc>
                <w:tcPr>
                  <w:tcW w:w="391" w:type="dxa"/>
                  <w:noWrap w:val="0"/>
                  <w:vAlign w:val="center"/>
                </w:tcPr>
                <w:p>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是</w:t>
                  </w:r>
                </w:p>
              </w:tc>
              <w:tc>
                <w:tcPr>
                  <w:tcW w:w="388" w:type="dxa"/>
                  <w:noWrap w:val="0"/>
                  <w:vAlign w:val="center"/>
                </w:tcPr>
                <w:p>
                  <w:pPr>
                    <w:widowControl/>
                    <w:spacing w:line="300" w:lineRule="exact"/>
                    <w:jc w:val="center"/>
                    <w:textAlignment w:val="center"/>
                    <w:rPr>
                      <w:color w:val="auto"/>
                      <w:spacing w:val="-10"/>
                      <w:kern w:val="0"/>
                      <w:sz w:val="18"/>
                      <w:szCs w:val="18"/>
                      <w:highlight w:val="none"/>
                      <w:lang w:bidi="ar"/>
                    </w:rPr>
                  </w:pPr>
                  <w:r>
                    <w:rPr>
                      <w:color w:val="auto"/>
                      <w:spacing w:val="-10"/>
                      <w:sz w:val="18"/>
                      <w:szCs w:val="18"/>
                      <w:highlight w:val="none"/>
                    </w:rPr>
                    <w:t>系数法</w:t>
                  </w:r>
                </w:p>
              </w:tc>
              <w:tc>
                <w:tcPr>
                  <w:tcW w:w="532" w:type="dxa"/>
                  <w:noWrap w:val="0"/>
                  <w:vAlign w:val="center"/>
                </w:tcPr>
                <w:p>
                  <w:pPr>
                    <w:widowControl/>
                    <w:spacing w:line="300" w:lineRule="exact"/>
                    <w:jc w:val="center"/>
                    <w:textAlignment w:val="center"/>
                    <w:rPr>
                      <w:color w:val="auto"/>
                      <w:spacing w:val="-10"/>
                      <w:kern w:val="0"/>
                      <w:sz w:val="18"/>
                      <w:szCs w:val="18"/>
                      <w:highlight w:val="none"/>
                      <w:lang w:bidi="ar"/>
                    </w:rPr>
                  </w:pPr>
                  <w:r>
                    <w:rPr>
                      <w:color w:val="auto"/>
                      <w:spacing w:val="-10"/>
                      <w:kern w:val="0"/>
                      <w:sz w:val="18"/>
                      <w:szCs w:val="18"/>
                      <w:highlight w:val="none"/>
                      <w:lang w:bidi="ar"/>
                    </w:rPr>
                    <w:t>/</w:t>
                  </w:r>
                </w:p>
              </w:tc>
              <w:tc>
                <w:tcPr>
                  <w:tcW w:w="667" w:type="dxa"/>
                  <w:noWrap w:val="0"/>
                  <w:vAlign w:val="center"/>
                </w:tcPr>
                <w:p>
                  <w:pPr>
                    <w:widowControl/>
                    <w:spacing w:line="300" w:lineRule="exact"/>
                    <w:jc w:val="center"/>
                    <w:textAlignment w:val="center"/>
                    <w:rPr>
                      <w:color w:val="auto"/>
                      <w:spacing w:val="-10"/>
                      <w:kern w:val="0"/>
                      <w:sz w:val="18"/>
                      <w:szCs w:val="18"/>
                      <w:highlight w:val="none"/>
                      <w:lang w:bidi="ar"/>
                    </w:rPr>
                  </w:pPr>
                  <w:r>
                    <w:rPr>
                      <w:color w:val="auto"/>
                      <w:spacing w:val="-10"/>
                      <w:kern w:val="0"/>
                      <w:sz w:val="18"/>
                      <w:szCs w:val="18"/>
                      <w:highlight w:val="none"/>
                      <w:lang w:bidi="ar"/>
                    </w:rPr>
                    <w:t>/</w:t>
                  </w:r>
                </w:p>
              </w:tc>
              <w:tc>
                <w:tcPr>
                  <w:tcW w:w="591" w:type="dxa"/>
                  <w:noWrap w:val="0"/>
                  <w:vAlign w:val="center"/>
                </w:tcPr>
                <w:p>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0.14</w:t>
                  </w:r>
                </w:p>
              </w:tc>
              <w:tc>
                <w:tcPr>
                  <w:tcW w:w="602" w:type="dxa"/>
                  <w:noWrap w:val="0"/>
                  <w:vAlign w:val="center"/>
                </w:tcPr>
                <w:p>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0.505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jc w:val="center"/>
              </w:trPr>
              <w:tc>
                <w:tcPr>
                  <w:tcW w:w="389" w:type="dxa"/>
                  <w:vMerge w:val="continue"/>
                  <w:noWrap w:val="0"/>
                  <w:vAlign w:val="center"/>
                </w:tcPr>
                <w:p>
                  <w:pPr>
                    <w:pStyle w:val="76"/>
                    <w:adjustRightInd w:val="0"/>
                    <w:snapToGrid w:val="0"/>
                    <w:spacing w:line="300" w:lineRule="exact"/>
                    <w:rPr>
                      <w:color w:val="auto"/>
                      <w:spacing w:val="-10"/>
                      <w:sz w:val="18"/>
                      <w:szCs w:val="18"/>
                      <w:highlight w:val="none"/>
                    </w:rPr>
                  </w:pPr>
                </w:p>
              </w:tc>
              <w:tc>
                <w:tcPr>
                  <w:tcW w:w="555" w:type="dxa"/>
                  <w:noWrap w:val="0"/>
                  <w:vAlign w:val="center"/>
                </w:tcPr>
                <w:p>
                  <w:pPr>
                    <w:pStyle w:val="76"/>
                    <w:adjustRightInd w:val="0"/>
                    <w:snapToGrid w:val="0"/>
                    <w:spacing w:line="300" w:lineRule="exact"/>
                    <w:rPr>
                      <w:rFonts w:hint="eastAsia" w:eastAsia="宋体"/>
                      <w:color w:val="auto"/>
                      <w:spacing w:val="-10"/>
                      <w:sz w:val="18"/>
                      <w:szCs w:val="18"/>
                      <w:highlight w:val="none"/>
                      <w:lang w:eastAsia="zh-CN"/>
                    </w:rPr>
                  </w:pPr>
                  <w:r>
                    <w:rPr>
                      <w:rFonts w:hint="eastAsia"/>
                      <w:color w:val="auto"/>
                      <w:spacing w:val="-10"/>
                      <w:sz w:val="18"/>
                      <w:szCs w:val="18"/>
                      <w:highlight w:val="none"/>
                      <w:lang w:val="en-US" w:eastAsia="zh-CN"/>
                    </w:rPr>
                    <w:t>投料</w:t>
                  </w:r>
                </w:p>
              </w:tc>
              <w:tc>
                <w:tcPr>
                  <w:tcW w:w="391" w:type="dxa"/>
                  <w:noWrap w:val="0"/>
                  <w:vAlign w:val="center"/>
                </w:tcPr>
                <w:p>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无组织</w:t>
                  </w:r>
                </w:p>
              </w:tc>
              <w:tc>
                <w:tcPr>
                  <w:tcW w:w="388" w:type="dxa"/>
                  <w:noWrap w:val="0"/>
                  <w:vAlign w:val="center"/>
                </w:tcPr>
                <w:p>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颗粒物</w:t>
                  </w:r>
                </w:p>
              </w:tc>
              <w:tc>
                <w:tcPr>
                  <w:tcW w:w="391" w:type="dxa"/>
                  <w:noWrap w:val="0"/>
                  <w:vAlign w:val="center"/>
                </w:tcPr>
                <w:p>
                  <w:pPr>
                    <w:widowControl/>
                    <w:spacing w:line="300" w:lineRule="exact"/>
                    <w:jc w:val="center"/>
                    <w:textAlignment w:val="center"/>
                    <w:rPr>
                      <w:rFonts w:hint="eastAsia" w:ascii="Times New Roman" w:hAnsi="Times New Roman" w:eastAsia="宋体" w:cs="Times New Roman"/>
                      <w:bCs/>
                      <w:color w:val="auto"/>
                      <w:spacing w:val="-10"/>
                      <w:sz w:val="18"/>
                      <w:szCs w:val="18"/>
                      <w:highlight w:val="none"/>
                      <w:lang w:val="en-US" w:eastAsia="zh-CN"/>
                    </w:rPr>
                  </w:pPr>
                  <w:r>
                    <w:rPr>
                      <w:color w:val="auto"/>
                      <w:spacing w:val="-10"/>
                      <w:sz w:val="18"/>
                      <w:szCs w:val="18"/>
                      <w:highlight w:val="none"/>
                    </w:rPr>
                    <w:t>系数法</w:t>
                  </w:r>
                </w:p>
              </w:tc>
              <w:tc>
                <w:tcPr>
                  <w:tcW w:w="532" w:type="dxa"/>
                  <w:noWrap w:val="0"/>
                  <w:vAlign w:val="center"/>
                </w:tcPr>
                <w:p>
                  <w:pPr>
                    <w:widowControl/>
                    <w:spacing w:line="300" w:lineRule="exact"/>
                    <w:jc w:val="center"/>
                    <w:textAlignment w:val="center"/>
                    <w:rPr>
                      <w:rFonts w:hint="eastAsia" w:ascii="Times New Roman" w:hAnsi="Times New Roman" w:eastAsia="宋体" w:cs="Times New Roman"/>
                      <w:bCs/>
                      <w:color w:val="auto"/>
                      <w:spacing w:val="-10"/>
                      <w:sz w:val="18"/>
                      <w:szCs w:val="18"/>
                      <w:highlight w:val="none"/>
                      <w:lang w:val="en-US" w:eastAsia="zh-CN"/>
                    </w:rPr>
                  </w:pPr>
                  <w:r>
                    <w:rPr>
                      <w:rFonts w:hint="eastAsia" w:ascii="Times New Roman" w:hAnsi="Times New Roman" w:eastAsia="宋体" w:cs="Times New Roman"/>
                      <w:bCs/>
                      <w:color w:val="auto"/>
                      <w:spacing w:val="-10"/>
                      <w:sz w:val="18"/>
                      <w:szCs w:val="18"/>
                      <w:highlight w:val="none"/>
                      <w:lang w:val="en-US" w:eastAsia="zh-CN"/>
                    </w:rPr>
                    <w:t>/</w:t>
                  </w:r>
                </w:p>
              </w:tc>
              <w:tc>
                <w:tcPr>
                  <w:tcW w:w="667" w:type="dxa"/>
                  <w:noWrap w:val="0"/>
                  <w:vAlign w:val="center"/>
                </w:tcPr>
                <w:p>
                  <w:pPr>
                    <w:widowControl/>
                    <w:spacing w:line="300" w:lineRule="exact"/>
                    <w:jc w:val="center"/>
                    <w:textAlignment w:val="center"/>
                    <w:rPr>
                      <w:rFonts w:hint="eastAsia" w:ascii="Times New Roman" w:hAnsi="Times New Roman" w:eastAsia="宋体" w:cs="Times New Roman"/>
                      <w:bCs/>
                      <w:color w:val="auto"/>
                      <w:spacing w:val="-10"/>
                      <w:sz w:val="18"/>
                      <w:szCs w:val="18"/>
                      <w:highlight w:val="none"/>
                      <w:lang w:val="en-US" w:eastAsia="zh-CN"/>
                    </w:rPr>
                  </w:pPr>
                  <w:r>
                    <w:rPr>
                      <w:rFonts w:hint="eastAsia" w:ascii="Times New Roman" w:hAnsi="Times New Roman" w:eastAsia="宋体" w:cs="Times New Roman"/>
                      <w:bCs/>
                      <w:color w:val="auto"/>
                      <w:spacing w:val="-10"/>
                      <w:sz w:val="18"/>
                      <w:szCs w:val="18"/>
                      <w:highlight w:val="none"/>
                      <w:lang w:val="en-US" w:eastAsia="zh-CN"/>
                    </w:rPr>
                    <w:t>/</w:t>
                  </w:r>
                </w:p>
              </w:tc>
              <w:tc>
                <w:tcPr>
                  <w:tcW w:w="591" w:type="dxa"/>
                  <w:noWrap w:val="0"/>
                  <w:vAlign w:val="center"/>
                </w:tcPr>
                <w:p>
                  <w:pPr>
                    <w:widowControl/>
                    <w:spacing w:line="300" w:lineRule="exact"/>
                    <w:jc w:val="center"/>
                    <w:textAlignment w:val="center"/>
                    <w:rPr>
                      <w:rFonts w:hint="default" w:ascii="Times New Roman" w:hAnsi="Times New Roman" w:eastAsia="宋体" w:cs="Times New Roman"/>
                      <w:bCs/>
                      <w:color w:val="auto"/>
                      <w:spacing w:val="-10"/>
                      <w:sz w:val="18"/>
                      <w:szCs w:val="18"/>
                      <w:highlight w:val="none"/>
                      <w:lang w:val="en-US" w:eastAsia="zh-CN"/>
                    </w:rPr>
                  </w:pPr>
                  <w:r>
                    <w:rPr>
                      <w:rFonts w:hint="eastAsia" w:cs="Times New Roman"/>
                      <w:bCs/>
                      <w:color w:val="auto"/>
                      <w:spacing w:val="-10"/>
                      <w:sz w:val="18"/>
                      <w:szCs w:val="18"/>
                      <w:highlight w:val="none"/>
                      <w:lang w:val="en-US" w:eastAsia="zh-CN"/>
                    </w:rPr>
                    <w:t>0.5439</w:t>
                  </w:r>
                </w:p>
              </w:tc>
              <w:tc>
                <w:tcPr>
                  <w:tcW w:w="564" w:type="dxa"/>
                  <w:noWrap w:val="0"/>
                  <w:vAlign w:val="center"/>
                </w:tcPr>
                <w:p>
                  <w:pPr>
                    <w:widowControl/>
                    <w:spacing w:line="300" w:lineRule="exact"/>
                    <w:jc w:val="center"/>
                    <w:textAlignment w:val="center"/>
                    <w:rPr>
                      <w:rFonts w:hint="default" w:ascii="Times New Roman" w:hAnsi="Times New Roman" w:eastAsia="宋体" w:cs="Times New Roman"/>
                      <w:bCs/>
                      <w:color w:val="auto"/>
                      <w:spacing w:val="-10"/>
                      <w:sz w:val="18"/>
                      <w:szCs w:val="18"/>
                      <w:highlight w:val="none"/>
                      <w:lang w:val="en-US" w:eastAsia="zh-CN"/>
                    </w:rPr>
                  </w:pPr>
                  <w:r>
                    <w:rPr>
                      <w:rFonts w:hint="eastAsia" w:cs="Times New Roman"/>
                      <w:bCs/>
                      <w:color w:val="auto"/>
                      <w:spacing w:val="-10"/>
                      <w:sz w:val="18"/>
                      <w:szCs w:val="18"/>
                      <w:highlight w:val="none"/>
                      <w:lang w:val="en-US" w:eastAsia="zh-CN"/>
                    </w:rPr>
                    <w:t>0.5439</w:t>
                  </w:r>
                </w:p>
              </w:tc>
              <w:tc>
                <w:tcPr>
                  <w:tcW w:w="718" w:type="dxa"/>
                  <w:noWrap w:val="0"/>
                  <w:vAlign w:val="center"/>
                </w:tcPr>
                <w:p>
                  <w:pPr>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半封闭式罩棚+雾化喷淋装置</w:t>
                  </w:r>
                </w:p>
              </w:tc>
              <w:tc>
                <w:tcPr>
                  <w:tcW w:w="487" w:type="dxa"/>
                  <w:noWrap w:val="0"/>
                  <w:vAlign w:val="center"/>
                </w:tcPr>
                <w:p>
                  <w:pPr>
                    <w:widowControl/>
                    <w:spacing w:line="300" w:lineRule="exact"/>
                    <w:jc w:val="center"/>
                    <w:textAlignment w:val="center"/>
                    <w:rPr>
                      <w:rFonts w:hint="default" w:ascii="Times New Roman" w:hAnsi="Times New Roman" w:eastAsia="宋体" w:cs="Times New Roman"/>
                      <w:bCs/>
                      <w:color w:val="auto"/>
                      <w:spacing w:val="-10"/>
                      <w:sz w:val="18"/>
                      <w:szCs w:val="18"/>
                      <w:highlight w:val="none"/>
                      <w:lang w:val="en-US" w:eastAsia="zh-CN"/>
                    </w:rPr>
                  </w:pPr>
                  <w:r>
                    <w:rPr>
                      <w:rFonts w:hint="default" w:ascii="Times New Roman" w:hAnsi="Times New Roman" w:eastAsia="宋体" w:cs="Times New Roman"/>
                      <w:bCs/>
                      <w:color w:val="auto"/>
                      <w:spacing w:val="-10"/>
                      <w:sz w:val="18"/>
                      <w:szCs w:val="18"/>
                      <w:highlight w:val="none"/>
                      <w:lang w:val="en-US" w:eastAsia="zh-CN"/>
                    </w:rPr>
                    <w:t>90</w:t>
                  </w:r>
                </w:p>
              </w:tc>
              <w:tc>
                <w:tcPr>
                  <w:tcW w:w="391" w:type="dxa"/>
                  <w:noWrap w:val="0"/>
                  <w:vAlign w:val="center"/>
                </w:tcPr>
                <w:p>
                  <w:pPr>
                    <w:widowControl/>
                    <w:spacing w:line="300" w:lineRule="exact"/>
                    <w:jc w:val="center"/>
                    <w:textAlignment w:val="center"/>
                    <w:rPr>
                      <w:rFonts w:hint="default" w:ascii="Times New Roman" w:hAnsi="Times New Roman" w:eastAsia="宋体" w:cs="Times New Roman"/>
                      <w:bCs/>
                      <w:color w:val="auto"/>
                      <w:spacing w:val="-10"/>
                      <w:sz w:val="18"/>
                      <w:szCs w:val="18"/>
                      <w:highlight w:val="none"/>
                      <w:lang w:val="en-US" w:eastAsia="zh-CN"/>
                    </w:rPr>
                  </w:pPr>
                  <w:r>
                    <w:rPr>
                      <w:rFonts w:hint="default" w:ascii="Times New Roman" w:hAnsi="Times New Roman" w:eastAsia="宋体" w:cs="Times New Roman"/>
                      <w:bCs/>
                      <w:color w:val="auto"/>
                      <w:spacing w:val="-10"/>
                      <w:sz w:val="18"/>
                      <w:szCs w:val="18"/>
                      <w:highlight w:val="none"/>
                      <w:lang w:val="en-US" w:eastAsia="zh-CN"/>
                    </w:rPr>
                    <w:t>是</w:t>
                  </w:r>
                </w:p>
              </w:tc>
              <w:tc>
                <w:tcPr>
                  <w:tcW w:w="388" w:type="dxa"/>
                  <w:noWrap w:val="0"/>
                  <w:vAlign w:val="center"/>
                </w:tcPr>
                <w:p>
                  <w:pPr>
                    <w:widowControl/>
                    <w:spacing w:line="300" w:lineRule="exact"/>
                    <w:jc w:val="center"/>
                    <w:textAlignment w:val="center"/>
                    <w:rPr>
                      <w:rFonts w:hint="eastAsia" w:ascii="Times New Roman" w:hAnsi="Times New Roman" w:eastAsia="宋体" w:cs="Times New Roman"/>
                      <w:bCs/>
                      <w:color w:val="auto"/>
                      <w:spacing w:val="-10"/>
                      <w:sz w:val="18"/>
                      <w:szCs w:val="18"/>
                      <w:highlight w:val="none"/>
                      <w:lang w:val="en-US" w:eastAsia="zh-CN"/>
                    </w:rPr>
                  </w:pPr>
                  <w:r>
                    <w:rPr>
                      <w:rFonts w:hint="eastAsia" w:ascii="Times New Roman" w:hAnsi="Times New Roman" w:eastAsia="宋体" w:cs="Times New Roman"/>
                      <w:bCs/>
                      <w:color w:val="auto"/>
                      <w:spacing w:val="-10"/>
                      <w:sz w:val="18"/>
                      <w:szCs w:val="18"/>
                      <w:highlight w:val="none"/>
                      <w:lang w:val="en-US" w:eastAsia="zh-CN"/>
                    </w:rPr>
                    <w:t>系数法</w:t>
                  </w:r>
                </w:p>
              </w:tc>
              <w:tc>
                <w:tcPr>
                  <w:tcW w:w="532" w:type="dxa"/>
                  <w:noWrap w:val="0"/>
                  <w:vAlign w:val="center"/>
                </w:tcPr>
                <w:p>
                  <w:pPr>
                    <w:widowControl/>
                    <w:spacing w:line="300" w:lineRule="exact"/>
                    <w:jc w:val="center"/>
                    <w:textAlignment w:val="center"/>
                    <w:rPr>
                      <w:rFonts w:hint="eastAsia" w:ascii="Times New Roman" w:hAnsi="Times New Roman" w:eastAsia="宋体" w:cs="Times New Roman"/>
                      <w:bCs/>
                      <w:color w:val="auto"/>
                      <w:spacing w:val="-10"/>
                      <w:sz w:val="18"/>
                      <w:szCs w:val="18"/>
                      <w:highlight w:val="none"/>
                      <w:lang w:val="en-US" w:eastAsia="zh-CN"/>
                    </w:rPr>
                  </w:pPr>
                  <w:r>
                    <w:rPr>
                      <w:rFonts w:hint="eastAsia" w:ascii="Times New Roman" w:hAnsi="Times New Roman" w:eastAsia="宋体" w:cs="Times New Roman"/>
                      <w:bCs/>
                      <w:color w:val="auto"/>
                      <w:spacing w:val="-10"/>
                      <w:sz w:val="18"/>
                      <w:szCs w:val="18"/>
                      <w:highlight w:val="none"/>
                      <w:lang w:val="en-US" w:eastAsia="zh-CN"/>
                    </w:rPr>
                    <w:t>/</w:t>
                  </w:r>
                </w:p>
              </w:tc>
              <w:tc>
                <w:tcPr>
                  <w:tcW w:w="667" w:type="dxa"/>
                  <w:noWrap w:val="0"/>
                  <w:vAlign w:val="center"/>
                </w:tcPr>
                <w:p>
                  <w:pPr>
                    <w:widowControl/>
                    <w:spacing w:line="300" w:lineRule="exact"/>
                    <w:jc w:val="center"/>
                    <w:textAlignment w:val="center"/>
                    <w:rPr>
                      <w:rFonts w:hint="eastAsia" w:ascii="Times New Roman" w:hAnsi="Times New Roman" w:eastAsia="宋体" w:cs="Times New Roman"/>
                      <w:bCs/>
                      <w:color w:val="auto"/>
                      <w:spacing w:val="-10"/>
                      <w:sz w:val="18"/>
                      <w:szCs w:val="18"/>
                      <w:highlight w:val="none"/>
                      <w:lang w:val="en-US" w:eastAsia="zh-CN"/>
                    </w:rPr>
                  </w:pPr>
                  <w:r>
                    <w:rPr>
                      <w:rFonts w:hint="eastAsia" w:ascii="Times New Roman" w:hAnsi="Times New Roman" w:eastAsia="宋体" w:cs="Times New Roman"/>
                      <w:bCs/>
                      <w:color w:val="auto"/>
                      <w:spacing w:val="-10"/>
                      <w:sz w:val="18"/>
                      <w:szCs w:val="18"/>
                      <w:highlight w:val="none"/>
                      <w:lang w:val="en-US" w:eastAsia="zh-CN"/>
                    </w:rPr>
                    <w:t>/</w:t>
                  </w:r>
                </w:p>
              </w:tc>
              <w:tc>
                <w:tcPr>
                  <w:tcW w:w="591" w:type="dxa"/>
                  <w:noWrap w:val="0"/>
                  <w:vAlign w:val="center"/>
                </w:tcPr>
                <w:p>
                  <w:pPr>
                    <w:widowControl/>
                    <w:spacing w:line="300" w:lineRule="exact"/>
                    <w:jc w:val="center"/>
                    <w:textAlignment w:val="center"/>
                    <w:rPr>
                      <w:rFonts w:hint="default" w:ascii="Times New Roman" w:hAnsi="Times New Roman" w:eastAsia="宋体" w:cs="Times New Roman"/>
                      <w:bCs/>
                      <w:color w:val="auto"/>
                      <w:spacing w:val="-10"/>
                      <w:sz w:val="18"/>
                      <w:szCs w:val="18"/>
                      <w:highlight w:val="none"/>
                      <w:lang w:val="en-US" w:eastAsia="zh-CN"/>
                    </w:rPr>
                  </w:pPr>
                  <w:r>
                    <w:rPr>
                      <w:rFonts w:hint="eastAsia" w:cs="Times New Roman"/>
                      <w:bCs/>
                      <w:color w:val="auto"/>
                      <w:spacing w:val="-10"/>
                      <w:sz w:val="18"/>
                      <w:szCs w:val="18"/>
                      <w:highlight w:val="none"/>
                      <w:lang w:val="en-US" w:eastAsia="zh-CN"/>
                    </w:rPr>
                    <w:t>0.054</w:t>
                  </w:r>
                </w:p>
              </w:tc>
              <w:tc>
                <w:tcPr>
                  <w:tcW w:w="602" w:type="dxa"/>
                  <w:noWrap w:val="0"/>
                  <w:vAlign w:val="center"/>
                </w:tcPr>
                <w:p>
                  <w:pPr>
                    <w:widowControl/>
                    <w:spacing w:line="300" w:lineRule="exact"/>
                    <w:jc w:val="center"/>
                    <w:textAlignment w:val="center"/>
                    <w:rPr>
                      <w:rFonts w:hint="default" w:ascii="Times New Roman" w:hAnsi="Times New Roman" w:eastAsia="宋体" w:cs="Times New Roman"/>
                      <w:bCs/>
                      <w:color w:val="auto"/>
                      <w:spacing w:val="-10"/>
                      <w:sz w:val="18"/>
                      <w:szCs w:val="18"/>
                      <w:highlight w:val="none"/>
                      <w:lang w:val="en-US" w:eastAsia="zh-CN"/>
                    </w:rPr>
                  </w:pPr>
                  <w:r>
                    <w:rPr>
                      <w:rFonts w:hint="eastAsia" w:cs="Times New Roman"/>
                      <w:bCs/>
                      <w:color w:val="auto"/>
                      <w:spacing w:val="-10"/>
                      <w:sz w:val="18"/>
                      <w:szCs w:val="18"/>
                      <w:highlight w:val="none"/>
                      <w:lang w:val="en-US" w:eastAsia="zh-CN"/>
                    </w:rPr>
                    <w:t>0.054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jc w:val="center"/>
              </w:trPr>
              <w:tc>
                <w:tcPr>
                  <w:tcW w:w="389" w:type="dxa"/>
                  <w:noWrap w:val="0"/>
                  <w:vAlign w:val="center"/>
                </w:tcPr>
                <w:p>
                  <w:pPr>
                    <w:pStyle w:val="76"/>
                    <w:adjustRightInd w:val="0"/>
                    <w:snapToGrid w:val="0"/>
                    <w:spacing w:line="300" w:lineRule="exact"/>
                    <w:rPr>
                      <w:rFonts w:hint="default" w:eastAsia="宋体"/>
                      <w:color w:val="auto"/>
                      <w:spacing w:val="-10"/>
                      <w:sz w:val="18"/>
                      <w:szCs w:val="18"/>
                      <w:highlight w:val="none"/>
                      <w:lang w:val="en-US" w:eastAsia="zh-CN"/>
                    </w:rPr>
                  </w:pPr>
                  <w:r>
                    <w:rPr>
                      <w:rFonts w:hint="eastAsia"/>
                      <w:color w:val="auto"/>
                      <w:spacing w:val="-10"/>
                      <w:sz w:val="18"/>
                      <w:szCs w:val="18"/>
                      <w:highlight w:val="none"/>
                      <w:lang w:val="en-US" w:eastAsia="zh-CN"/>
                    </w:rPr>
                    <w:t xml:space="preserve">物料搅拌  </w:t>
                  </w:r>
                </w:p>
              </w:tc>
              <w:tc>
                <w:tcPr>
                  <w:tcW w:w="555" w:type="dxa"/>
                  <w:noWrap w:val="0"/>
                  <w:vAlign w:val="center"/>
                </w:tcPr>
                <w:p>
                  <w:pPr>
                    <w:pStyle w:val="76"/>
                    <w:adjustRightInd w:val="0"/>
                    <w:snapToGrid w:val="0"/>
                    <w:spacing w:line="300" w:lineRule="exact"/>
                    <w:rPr>
                      <w:rFonts w:hint="default"/>
                      <w:color w:val="auto"/>
                      <w:spacing w:val="-10"/>
                      <w:sz w:val="18"/>
                      <w:szCs w:val="18"/>
                      <w:highlight w:val="none"/>
                      <w:lang w:val="en-US" w:eastAsia="zh-CN"/>
                    </w:rPr>
                  </w:pPr>
                  <w:r>
                    <w:rPr>
                      <w:rFonts w:hint="eastAsia"/>
                      <w:color w:val="auto"/>
                      <w:spacing w:val="-10"/>
                      <w:sz w:val="18"/>
                      <w:szCs w:val="18"/>
                      <w:highlight w:val="none"/>
                      <w:lang w:val="en-US" w:eastAsia="zh-CN"/>
                    </w:rPr>
                    <w:t>搅拌</w:t>
                  </w:r>
                </w:p>
              </w:tc>
              <w:tc>
                <w:tcPr>
                  <w:tcW w:w="391" w:type="dxa"/>
                  <w:noWrap w:val="0"/>
                  <w:vAlign w:val="center"/>
                </w:tcPr>
                <w:p>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无组织</w:t>
                  </w:r>
                </w:p>
              </w:tc>
              <w:tc>
                <w:tcPr>
                  <w:tcW w:w="388" w:type="dxa"/>
                  <w:noWrap w:val="0"/>
                  <w:vAlign w:val="center"/>
                </w:tcPr>
                <w:p>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颗粒物</w:t>
                  </w:r>
                </w:p>
              </w:tc>
              <w:tc>
                <w:tcPr>
                  <w:tcW w:w="391" w:type="dxa"/>
                  <w:noWrap w:val="0"/>
                  <w:vAlign w:val="center"/>
                </w:tcPr>
                <w:p>
                  <w:pPr>
                    <w:widowControl/>
                    <w:spacing w:line="300" w:lineRule="exact"/>
                    <w:jc w:val="center"/>
                    <w:textAlignment w:val="center"/>
                    <w:rPr>
                      <w:rFonts w:hint="default"/>
                      <w:color w:val="auto"/>
                      <w:spacing w:val="-10"/>
                      <w:kern w:val="0"/>
                      <w:sz w:val="18"/>
                      <w:szCs w:val="18"/>
                      <w:highlight w:val="none"/>
                      <w:lang w:bidi="ar"/>
                    </w:rPr>
                  </w:pPr>
                  <w:r>
                    <w:rPr>
                      <w:color w:val="auto"/>
                      <w:spacing w:val="-10"/>
                      <w:sz w:val="18"/>
                      <w:szCs w:val="18"/>
                      <w:highlight w:val="none"/>
                    </w:rPr>
                    <w:t>系数法</w:t>
                  </w:r>
                </w:p>
              </w:tc>
              <w:tc>
                <w:tcPr>
                  <w:tcW w:w="532" w:type="dxa"/>
                  <w:noWrap w:val="0"/>
                  <w:vAlign w:val="center"/>
                </w:tcPr>
                <w:p>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eastAsia"/>
                      <w:color w:val="0000FF"/>
                      <w:spacing w:val="-10"/>
                      <w:kern w:val="0"/>
                      <w:sz w:val="18"/>
                      <w:szCs w:val="18"/>
                      <w:highlight w:val="none"/>
                      <w:lang w:val="en-US" w:eastAsia="zh-CN" w:bidi="ar"/>
                    </w:rPr>
                    <w:t>/</w:t>
                  </w:r>
                </w:p>
              </w:tc>
              <w:tc>
                <w:tcPr>
                  <w:tcW w:w="667" w:type="dxa"/>
                  <w:noWrap w:val="0"/>
                  <w:vAlign w:val="center"/>
                </w:tcPr>
                <w:p>
                  <w:pPr>
                    <w:widowControl/>
                    <w:spacing w:line="300" w:lineRule="exact"/>
                    <w:jc w:val="center"/>
                    <w:textAlignment w:val="center"/>
                    <w:rPr>
                      <w:rFonts w:hint="default" w:eastAsia="宋体"/>
                      <w:color w:val="auto"/>
                      <w:spacing w:val="-10"/>
                      <w:kern w:val="0"/>
                      <w:sz w:val="18"/>
                      <w:szCs w:val="18"/>
                      <w:highlight w:val="none"/>
                      <w:lang w:val="en-US" w:eastAsia="zh-CN" w:bidi="ar"/>
                    </w:rPr>
                  </w:pPr>
                </w:p>
              </w:tc>
              <w:tc>
                <w:tcPr>
                  <w:tcW w:w="591"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4.875</w:t>
                  </w:r>
                </w:p>
              </w:tc>
              <w:tc>
                <w:tcPr>
                  <w:tcW w:w="564"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4.875</w:t>
                  </w:r>
                </w:p>
              </w:tc>
              <w:tc>
                <w:tcPr>
                  <w:tcW w:w="718"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布袋除尘器</w:t>
                  </w:r>
                </w:p>
              </w:tc>
              <w:tc>
                <w:tcPr>
                  <w:tcW w:w="487"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99</w:t>
                  </w:r>
                  <w:r>
                    <w:rPr>
                      <w:rFonts w:hint="eastAsia"/>
                      <w:color w:val="auto"/>
                      <w:spacing w:val="-10"/>
                      <w:kern w:val="0"/>
                      <w:sz w:val="18"/>
                      <w:szCs w:val="18"/>
                      <w:highlight w:val="none"/>
                      <w:lang w:val="en-US" w:eastAsia="zh-CN" w:bidi="ar"/>
                    </w:rPr>
                    <w:t>.</w:t>
                  </w:r>
                  <w:r>
                    <w:rPr>
                      <w:rFonts w:hint="default" w:ascii="Times New Roman" w:hAnsi="Times New Roman" w:cs="Times New Roman"/>
                      <w:color w:val="auto"/>
                      <w:spacing w:val="-10"/>
                      <w:kern w:val="0"/>
                      <w:sz w:val="18"/>
                      <w:szCs w:val="18"/>
                      <w:highlight w:val="none"/>
                      <w:lang w:val="en-US" w:eastAsia="zh-CN" w:bidi="ar"/>
                    </w:rPr>
                    <w:t>5</w:t>
                  </w:r>
                </w:p>
              </w:tc>
              <w:tc>
                <w:tcPr>
                  <w:tcW w:w="391" w:type="dxa"/>
                  <w:noWrap w:val="0"/>
                  <w:vAlign w:val="center"/>
                </w:tcPr>
                <w:p>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是</w:t>
                  </w:r>
                </w:p>
              </w:tc>
              <w:tc>
                <w:tcPr>
                  <w:tcW w:w="388" w:type="dxa"/>
                  <w:noWrap w:val="0"/>
                  <w:vAlign w:val="center"/>
                </w:tcPr>
                <w:p>
                  <w:pPr>
                    <w:widowControl/>
                    <w:spacing w:line="300" w:lineRule="exact"/>
                    <w:jc w:val="center"/>
                    <w:textAlignment w:val="center"/>
                    <w:rPr>
                      <w:color w:val="auto"/>
                      <w:spacing w:val="-10"/>
                      <w:sz w:val="18"/>
                      <w:szCs w:val="18"/>
                      <w:highlight w:val="none"/>
                    </w:rPr>
                  </w:pPr>
                  <w:r>
                    <w:rPr>
                      <w:color w:val="auto"/>
                      <w:spacing w:val="-10"/>
                      <w:sz w:val="18"/>
                      <w:szCs w:val="18"/>
                      <w:highlight w:val="none"/>
                    </w:rPr>
                    <w:t>系数法</w:t>
                  </w:r>
                </w:p>
              </w:tc>
              <w:tc>
                <w:tcPr>
                  <w:tcW w:w="532" w:type="dxa"/>
                  <w:noWrap w:val="0"/>
                  <w:vAlign w:val="center"/>
                </w:tcPr>
                <w:p>
                  <w:pPr>
                    <w:widowControl/>
                    <w:spacing w:line="300" w:lineRule="exact"/>
                    <w:jc w:val="center"/>
                    <w:textAlignment w:val="center"/>
                    <w:rPr>
                      <w:rFonts w:hint="default" w:eastAsia="宋体"/>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w:t>
                  </w:r>
                </w:p>
              </w:tc>
              <w:tc>
                <w:tcPr>
                  <w:tcW w:w="667" w:type="dxa"/>
                  <w:noWrap w:val="0"/>
                  <w:vAlign w:val="center"/>
                </w:tcPr>
                <w:p>
                  <w:pPr>
                    <w:widowControl/>
                    <w:spacing w:line="300" w:lineRule="exact"/>
                    <w:jc w:val="center"/>
                    <w:textAlignment w:val="center"/>
                    <w:rPr>
                      <w:rFonts w:hint="default" w:eastAsia="宋体"/>
                      <w:color w:val="auto"/>
                      <w:spacing w:val="-10"/>
                      <w:kern w:val="0"/>
                      <w:sz w:val="18"/>
                      <w:szCs w:val="18"/>
                      <w:highlight w:val="none"/>
                      <w:lang w:val="en-US" w:eastAsia="zh-CN" w:bidi="ar"/>
                    </w:rPr>
                  </w:pPr>
                </w:p>
              </w:tc>
              <w:tc>
                <w:tcPr>
                  <w:tcW w:w="591"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0.024</w:t>
                  </w:r>
                </w:p>
              </w:tc>
              <w:tc>
                <w:tcPr>
                  <w:tcW w:w="602"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0.024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jc w:val="center"/>
              </w:trPr>
              <w:tc>
                <w:tcPr>
                  <w:tcW w:w="389" w:type="dxa"/>
                  <w:noWrap w:val="0"/>
                  <w:vAlign w:val="center"/>
                </w:tcPr>
                <w:p>
                  <w:pPr>
                    <w:pStyle w:val="76"/>
                    <w:adjustRightInd w:val="0"/>
                    <w:snapToGrid w:val="0"/>
                    <w:spacing w:line="300" w:lineRule="exact"/>
                    <w:rPr>
                      <w:rFonts w:hint="eastAsia"/>
                      <w:color w:val="auto"/>
                      <w:spacing w:val="-10"/>
                      <w:sz w:val="18"/>
                      <w:szCs w:val="18"/>
                      <w:highlight w:val="none"/>
                      <w:lang w:val="en-US" w:eastAsia="zh-CN"/>
                    </w:rPr>
                  </w:pPr>
                  <w:r>
                    <w:rPr>
                      <w:rFonts w:hint="eastAsia"/>
                      <w:color w:val="auto"/>
                      <w:spacing w:val="-10"/>
                      <w:sz w:val="18"/>
                      <w:szCs w:val="18"/>
                      <w:highlight w:val="none"/>
                      <w:lang w:val="en-US" w:eastAsia="zh-CN"/>
                    </w:rPr>
                    <w:t>车辆</w:t>
                  </w:r>
                  <w:r>
                    <w:rPr>
                      <w:rFonts w:hint="default"/>
                      <w:color w:val="auto"/>
                      <w:spacing w:val="-10"/>
                      <w:sz w:val="18"/>
                      <w:szCs w:val="18"/>
                      <w:highlight w:val="none"/>
                      <w:lang w:val="en-US" w:eastAsia="zh-CN"/>
                    </w:rPr>
                    <w:t>运输扬尘</w:t>
                  </w:r>
                </w:p>
              </w:tc>
              <w:tc>
                <w:tcPr>
                  <w:tcW w:w="555" w:type="dxa"/>
                  <w:noWrap w:val="0"/>
                  <w:vAlign w:val="center"/>
                </w:tcPr>
                <w:p>
                  <w:pPr>
                    <w:pStyle w:val="76"/>
                    <w:adjustRightInd w:val="0"/>
                    <w:snapToGrid w:val="0"/>
                    <w:spacing w:line="300" w:lineRule="exact"/>
                    <w:rPr>
                      <w:rFonts w:hint="eastAsia"/>
                      <w:color w:val="auto"/>
                      <w:spacing w:val="-10"/>
                      <w:sz w:val="18"/>
                      <w:szCs w:val="18"/>
                      <w:highlight w:val="none"/>
                      <w:lang w:val="en-US" w:eastAsia="zh-CN"/>
                    </w:rPr>
                  </w:pPr>
                  <w:r>
                    <w:rPr>
                      <w:rFonts w:hint="default"/>
                      <w:color w:val="auto"/>
                      <w:spacing w:val="-10"/>
                      <w:sz w:val="18"/>
                      <w:szCs w:val="18"/>
                      <w:highlight w:val="none"/>
                      <w:lang w:val="en-US" w:eastAsia="zh-CN"/>
                    </w:rPr>
                    <w:t>运输</w:t>
                  </w:r>
                </w:p>
              </w:tc>
              <w:tc>
                <w:tcPr>
                  <w:tcW w:w="391"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无组织</w:t>
                  </w:r>
                </w:p>
              </w:tc>
              <w:tc>
                <w:tcPr>
                  <w:tcW w:w="388" w:type="dxa"/>
                  <w:noWrap w:val="0"/>
                  <w:vAlign w:val="center"/>
                </w:tcPr>
                <w:p>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颗粒物</w:t>
                  </w:r>
                </w:p>
              </w:tc>
              <w:tc>
                <w:tcPr>
                  <w:tcW w:w="391" w:type="dxa"/>
                  <w:noWrap w:val="0"/>
                  <w:vAlign w:val="center"/>
                </w:tcPr>
                <w:p>
                  <w:pPr>
                    <w:widowControl/>
                    <w:spacing w:line="300" w:lineRule="exact"/>
                    <w:jc w:val="center"/>
                    <w:textAlignment w:val="center"/>
                    <w:rPr>
                      <w:rFonts w:hint="default"/>
                      <w:color w:val="auto"/>
                      <w:spacing w:val="-10"/>
                      <w:kern w:val="0"/>
                      <w:sz w:val="18"/>
                      <w:szCs w:val="18"/>
                      <w:highlight w:val="none"/>
                      <w:lang w:bidi="ar"/>
                    </w:rPr>
                  </w:pPr>
                  <w:r>
                    <w:rPr>
                      <w:color w:val="auto"/>
                      <w:spacing w:val="-10"/>
                      <w:sz w:val="18"/>
                      <w:szCs w:val="18"/>
                      <w:highlight w:val="none"/>
                    </w:rPr>
                    <w:t>系数法</w:t>
                  </w:r>
                </w:p>
              </w:tc>
              <w:tc>
                <w:tcPr>
                  <w:tcW w:w="532"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w:t>
                  </w:r>
                </w:p>
              </w:tc>
              <w:tc>
                <w:tcPr>
                  <w:tcW w:w="667"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w:t>
                  </w:r>
                </w:p>
              </w:tc>
              <w:tc>
                <w:tcPr>
                  <w:tcW w:w="591"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w:t>
                  </w:r>
                </w:p>
              </w:tc>
              <w:tc>
                <w:tcPr>
                  <w:tcW w:w="564"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0.027</w:t>
                  </w:r>
                </w:p>
              </w:tc>
              <w:tc>
                <w:tcPr>
                  <w:tcW w:w="718"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道路硬化、洒水降尘</w:t>
                  </w:r>
                </w:p>
              </w:tc>
              <w:tc>
                <w:tcPr>
                  <w:tcW w:w="487"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default" w:ascii="Times New Roman" w:hAnsi="Times New Roman" w:cs="Times New Roman"/>
                      <w:color w:val="auto"/>
                      <w:spacing w:val="-10"/>
                      <w:kern w:val="0"/>
                      <w:sz w:val="18"/>
                      <w:szCs w:val="18"/>
                      <w:highlight w:val="none"/>
                      <w:lang w:val="en-US" w:eastAsia="zh-CN" w:bidi="ar"/>
                    </w:rPr>
                    <w:t>74</w:t>
                  </w:r>
                </w:p>
              </w:tc>
              <w:tc>
                <w:tcPr>
                  <w:tcW w:w="391" w:type="dxa"/>
                  <w:noWrap w:val="0"/>
                  <w:vAlign w:val="center"/>
                </w:tcPr>
                <w:p>
                  <w:pPr>
                    <w:widowControl/>
                    <w:spacing w:line="300" w:lineRule="exact"/>
                    <w:jc w:val="center"/>
                    <w:textAlignment w:val="center"/>
                    <w:rPr>
                      <w:rFonts w:hint="default"/>
                      <w:color w:val="auto"/>
                      <w:spacing w:val="-10"/>
                      <w:kern w:val="0"/>
                      <w:sz w:val="18"/>
                      <w:szCs w:val="18"/>
                      <w:highlight w:val="none"/>
                      <w:lang w:bidi="ar"/>
                    </w:rPr>
                  </w:pPr>
                  <w:r>
                    <w:rPr>
                      <w:rFonts w:hint="default"/>
                      <w:color w:val="auto"/>
                      <w:spacing w:val="-10"/>
                      <w:kern w:val="0"/>
                      <w:sz w:val="18"/>
                      <w:szCs w:val="18"/>
                      <w:highlight w:val="none"/>
                      <w:lang w:bidi="ar"/>
                    </w:rPr>
                    <w:t>是</w:t>
                  </w:r>
                </w:p>
              </w:tc>
              <w:tc>
                <w:tcPr>
                  <w:tcW w:w="388" w:type="dxa"/>
                  <w:noWrap w:val="0"/>
                  <w:vAlign w:val="center"/>
                </w:tcPr>
                <w:p>
                  <w:pPr>
                    <w:widowControl/>
                    <w:spacing w:line="300" w:lineRule="exact"/>
                    <w:jc w:val="center"/>
                    <w:textAlignment w:val="center"/>
                    <w:rPr>
                      <w:color w:val="auto"/>
                      <w:spacing w:val="-10"/>
                      <w:sz w:val="18"/>
                      <w:szCs w:val="18"/>
                      <w:highlight w:val="none"/>
                    </w:rPr>
                  </w:pPr>
                  <w:r>
                    <w:rPr>
                      <w:color w:val="auto"/>
                      <w:spacing w:val="-10"/>
                      <w:sz w:val="18"/>
                      <w:szCs w:val="18"/>
                      <w:highlight w:val="none"/>
                    </w:rPr>
                    <w:t>系数法</w:t>
                  </w:r>
                </w:p>
              </w:tc>
              <w:tc>
                <w:tcPr>
                  <w:tcW w:w="532"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w:t>
                  </w:r>
                </w:p>
              </w:tc>
              <w:tc>
                <w:tcPr>
                  <w:tcW w:w="667"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w:t>
                  </w:r>
                </w:p>
              </w:tc>
              <w:tc>
                <w:tcPr>
                  <w:tcW w:w="591"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w:t>
                  </w:r>
                </w:p>
              </w:tc>
              <w:tc>
                <w:tcPr>
                  <w:tcW w:w="602" w:type="dxa"/>
                  <w:noWrap w:val="0"/>
                  <w:vAlign w:val="center"/>
                </w:tcPr>
                <w:p>
                  <w:pPr>
                    <w:widowControl/>
                    <w:spacing w:line="300" w:lineRule="exact"/>
                    <w:jc w:val="center"/>
                    <w:textAlignment w:val="center"/>
                    <w:rPr>
                      <w:rFonts w:hint="default"/>
                      <w:color w:val="auto"/>
                      <w:spacing w:val="-10"/>
                      <w:kern w:val="0"/>
                      <w:sz w:val="18"/>
                      <w:szCs w:val="18"/>
                      <w:highlight w:val="none"/>
                      <w:lang w:val="en-US" w:eastAsia="zh-CN" w:bidi="ar"/>
                    </w:rPr>
                  </w:pPr>
                  <w:r>
                    <w:rPr>
                      <w:rFonts w:hint="eastAsia"/>
                      <w:color w:val="auto"/>
                      <w:spacing w:val="-10"/>
                      <w:kern w:val="0"/>
                      <w:sz w:val="18"/>
                      <w:szCs w:val="18"/>
                      <w:highlight w:val="none"/>
                      <w:lang w:val="en-US" w:eastAsia="zh-CN" w:bidi="ar"/>
                    </w:rPr>
                    <w:t>0.007</w:t>
                  </w:r>
                </w:p>
              </w:tc>
            </w:tr>
          </w:tbl>
          <w:p>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textAlignment w:val="auto"/>
              <w:outlineLvl w:val="9"/>
              <w:rPr>
                <w:rFonts w:hint="eastAsia" w:ascii="Times New Roman" w:hAnsi="Times New Roman" w:eastAsia="宋体" w:cs="Times New Roman"/>
                <w:b w:val="0"/>
                <w:bCs/>
                <w:color w:val="auto"/>
                <w:spacing w:val="0"/>
                <w:sz w:val="24"/>
                <w:szCs w:val="24"/>
                <w:highlight w:val="none"/>
                <w:lang w:eastAsia="zh-CN"/>
              </w:rPr>
            </w:pPr>
            <w:r>
              <w:rPr>
                <w:rFonts w:hint="default" w:ascii="Times New Roman" w:hAnsi="Times New Roman" w:cs="Times New Roman"/>
                <w:bCs/>
                <w:color w:val="auto"/>
                <w:sz w:val="24"/>
                <w:highlight w:val="none"/>
              </w:rPr>
              <w:t>2</w:t>
            </w:r>
            <w:r>
              <w:rPr>
                <w:rFonts w:hint="eastAsia"/>
                <w:bCs/>
                <w:color w:val="auto"/>
                <w:sz w:val="24"/>
                <w:highlight w:val="none"/>
              </w:rPr>
              <w:t>、</w:t>
            </w:r>
            <w:r>
              <w:rPr>
                <w:bCs/>
                <w:color w:val="auto"/>
                <w:sz w:val="24"/>
                <w:highlight w:val="none"/>
              </w:rPr>
              <w:t>本项目</w:t>
            </w:r>
            <w:r>
              <w:rPr>
                <w:rFonts w:hint="eastAsia"/>
                <w:bCs/>
                <w:color w:val="auto"/>
                <w:sz w:val="24"/>
                <w:highlight w:val="none"/>
              </w:rPr>
              <w:t>废气处理措施可行性分析</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auto"/>
                <w:spacing w:val="0"/>
                <w:sz w:val="24"/>
                <w:szCs w:val="24"/>
                <w:highlight w:val="none"/>
              </w:rPr>
            </w:pPr>
            <w:r>
              <w:rPr>
                <w:rFonts w:hint="eastAsia" w:ascii="Times New Roman" w:hAnsi="Times New Roman" w:eastAsia="宋体" w:cs="Times New Roman"/>
                <w:b w:val="0"/>
                <w:bCs/>
                <w:color w:val="auto"/>
                <w:spacing w:val="0"/>
                <w:sz w:val="24"/>
                <w:szCs w:val="24"/>
                <w:highlight w:val="none"/>
              </w:rPr>
              <w:t>原料</w:t>
            </w:r>
            <w:r>
              <w:rPr>
                <w:rFonts w:hint="default" w:ascii="Times New Roman" w:hAnsi="Times New Roman" w:eastAsia="宋体" w:cs="Times New Roman"/>
                <w:b w:val="0"/>
                <w:bCs/>
                <w:color w:val="auto"/>
                <w:spacing w:val="0"/>
                <w:sz w:val="24"/>
                <w:szCs w:val="24"/>
                <w:highlight w:val="none"/>
              </w:rPr>
              <w:t>采用卡车运输，卡车用苫布苫盖</w:t>
            </w:r>
            <w:r>
              <w:rPr>
                <w:rFonts w:hint="eastAsia" w:ascii="Times New Roman" w:hAnsi="Times New Roman" w:eastAsia="宋体" w:cs="Times New Roman"/>
                <w:b w:val="0"/>
                <w:bCs/>
                <w:color w:val="auto"/>
                <w:spacing w:val="0"/>
                <w:sz w:val="24"/>
                <w:szCs w:val="24"/>
                <w:highlight w:val="none"/>
              </w:rPr>
              <w:t>，</w:t>
            </w:r>
            <w:r>
              <w:rPr>
                <w:rFonts w:hint="eastAsia" w:ascii="Times New Roman" w:hAnsi="Times New Roman" w:eastAsia="宋体" w:cs="Times New Roman"/>
                <w:b w:val="0"/>
                <w:bCs/>
                <w:color w:val="auto"/>
                <w:spacing w:val="0"/>
                <w:sz w:val="24"/>
                <w:szCs w:val="24"/>
                <w:highlight w:val="none"/>
                <w:lang w:eastAsia="zh-CN"/>
              </w:rPr>
              <w:t>水泥采用专用水泥运输罐车运输</w:t>
            </w:r>
            <w:r>
              <w:rPr>
                <w:rFonts w:hint="eastAsia"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rPr>
              <w:t>厂区地面进行硬化，</w:t>
            </w:r>
            <w:r>
              <w:rPr>
                <w:rFonts w:hint="eastAsia" w:ascii="Times New Roman" w:hAnsi="Times New Roman" w:eastAsia="宋体" w:cs="Times New Roman"/>
                <w:b w:val="0"/>
                <w:bCs/>
                <w:color w:val="auto"/>
                <w:spacing w:val="0"/>
                <w:sz w:val="24"/>
                <w:szCs w:val="24"/>
                <w:highlight w:val="none"/>
                <w:lang w:val="en-US" w:eastAsia="zh-CN"/>
              </w:rPr>
              <w:t>且对厂区进行洒水抑尘</w:t>
            </w:r>
            <w:r>
              <w:rPr>
                <w:rFonts w:hint="eastAsia" w:ascii="Times New Roman" w:hAnsi="Times New Roman" w:eastAsia="宋体" w:cs="Times New Roman"/>
                <w:b w:val="0"/>
                <w:bCs/>
                <w:color w:val="auto"/>
                <w:spacing w:val="0"/>
                <w:sz w:val="24"/>
                <w:szCs w:val="24"/>
                <w:highlight w:val="none"/>
              </w:rPr>
              <w:t>；本项目</w:t>
            </w:r>
            <w:r>
              <w:rPr>
                <w:rFonts w:hint="eastAsia" w:ascii="Times New Roman" w:hAnsi="Times New Roman" w:eastAsia="宋体" w:cs="Times New Roman"/>
                <w:b w:val="0"/>
                <w:bCs/>
                <w:color w:val="auto"/>
                <w:spacing w:val="0"/>
                <w:sz w:val="24"/>
                <w:szCs w:val="24"/>
                <w:highlight w:val="none"/>
                <w:lang w:val="en-US" w:eastAsia="zh-CN"/>
              </w:rPr>
              <w:t>砂石料</w:t>
            </w:r>
            <w:r>
              <w:rPr>
                <w:rFonts w:hint="default" w:ascii="Times New Roman" w:hAnsi="Times New Roman" w:eastAsia="宋体" w:cs="Times New Roman"/>
                <w:b w:val="0"/>
                <w:bCs/>
                <w:color w:val="auto"/>
                <w:spacing w:val="0"/>
                <w:sz w:val="24"/>
                <w:szCs w:val="24"/>
                <w:highlight w:val="none"/>
                <w:lang w:val="en-US" w:eastAsia="zh-CN"/>
              </w:rPr>
              <w:t>堆</w:t>
            </w:r>
            <w:r>
              <w:rPr>
                <w:rFonts w:hint="eastAsia" w:ascii="Times New Roman" w:hAnsi="Times New Roman" w:eastAsia="宋体" w:cs="Times New Roman"/>
                <w:b w:val="0"/>
                <w:bCs/>
                <w:color w:val="auto"/>
                <w:spacing w:val="0"/>
                <w:sz w:val="24"/>
                <w:szCs w:val="24"/>
                <w:highlight w:val="none"/>
                <w:lang w:val="en-US" w:eastAsia="zh-CN"/>
              </w:rPr>
              <w:t>场</w:t>
            </w:r>
            <w:r>
              <w:rPr>
                <w:rFonts w:hint="eastAsia" w:ascii="Times New Roman" w:hAnsi="Times New Roman" w:eastAsia="宋体" w:cs="Times New Roman"/>
                <w:b w:val="0"/>
                <w:bCs/>
                <w:color w:val="auto"/>
                <w:spacing w:val="0"/>
                <w:sz w:val="24"/>
                <w:szCs w:val="24"/>
                <w:highlight w:val="none"/>
                <w:lang w:eastAsia="zh-CN"/>
              </w:rPr>
              <w:t>四周设置</w:t>
            </w:r>
            <w:r>
              <w:rPr>
                <w:rFonts w:hint="default" w:ascii="Times New Roman" w:hAnsi="Times New Roman" w:eastAsia="宋体" w:cs="Times New Roman"/>
                <w:b w:val="0"/>
                <w:bCs/>
                <w:color w:val="auto"/>
                <w:spacing w:val="0"/>
                <w:sz w:val="24"/>
                <w:szCs w:val="24"/>
                <w:highlight w:val="none"/>
                <w:lang w:val="en-US" w:eastAsia="zh-CN"/>
              </w:rPr>
              <w:t>防风抑尘网</w:t>
            </w:r>
            <w:r>
              <w:rPr>
                <w:rFonts w:hint="eastAsia" w:ascii="Times New Roman" w:hAnsi="Times New Roman" w:eastAsia="宋体" w:cs="Times New Roman"/>
                <w:b w:val="0"/>
                <w:bCs/>
                <w:color w:val="auto"/>
                <w:spacing w:val="0"/>
                <w:sz w:val="24"/>
                <w:szCs w:val="24"/>
                <w:highlight w:val="none"/>
                <w:lang w:val="en-US" w:eastAsia="zh-CN"/>
              </w:rPr>
              <w:t>，并洒水抑尘；水泥和粉煤灰采用筒仓存储，水泥、粉煤灰筒仓</w:t>
            </w:r>
            <w:r>
              <w:rPr>
                <w:rFonts w:hint="eastAsia" w:ascii="Times New Roman" w:hAnsi="Times New Roman" w:eastAsia="宋体" w:cs="Times New Roman"/>
                <w:b w:val="0"/>
                <w:bCs/>
                <w:color w:val="auto"/>
                <w:spacing w:val="0"/>
                <w:sz w:val="24"/>
                <w:szCs w:val="24"/>
                <w:highlight w:val="none"/>
              </w:rPr>
              <w:t>均配备仓顶式布袋除尘器，废气经处理后由无组织形式排放；</w:t>
            </w:r>
            <w:r>
              <w:rPr>
                <w:rFonts w:hint="eastAsia" w:ascii="Times New Roman" w:hAnsi="Times New Roman" w:eastAsia="宋体" w:cs="Times New Roman"/>
                <w:b w:val="0"/>
                <w:bCs/>
                <w:color w:val="auto"/>
                <w:spacing w:val="0"/>
                <w:sz w:val="24"/>
                <w:szCs w:val="24"/>
                <w:highlight w:val="none"/>
                <w:lang w:val="en-US" w:eastAsia="zh-CN"/>
              </w:rPr>
              <w:t>投料</w:t>
            </w:r>
            <w:r>
              <w:rPr>
                <w:rFonts w:hint="default" w:ascii="Times New Roman" w:hAnsi="Times New Roman" w:eastAsia="宋体" w:cs="Times New Roman"/>
                <w:b w:val="0"/>
                <w:bCs/>
                <w:color w:val="auto"/>
                <w:spacing w:val="0"/>
                <w:sz w:val="24"/>
                <w:szCs w:val="24"/>
                <w:highlight w:val="none"/>
                <w:lang w:val="en-US" w:eastAsia="zh-CN"/>
              </w:rPr>
              <w:t>斗设置</w:t>
            </w:r>
            <w:r>
              <w:rPr>
                <w:rFonts w:hint="eastAsia" w:ascii="Times New Roman" w:hAnsi="Times New Roman" w:eastAsia="宋体" w:cs="Times New Roman"/>
                <w:b w:val="0"/>
                <w:bCs/>
                <w:color w:val="auto"/>
                <w:spacing w:val="0"/>
                <w:sz w:val="24"/>
                <w:szCs w:val="24"/>
                <w:highlight w:val="none"/>
                <w:lang w:val="en-US" w:eastAsia="zh-CN"/>
              </w:rPr>
              <w:t>在</w:t>
            </w:r>
            <w:r>
              <w:rPr>
                <w:rFonts w:hint="eastAsia" w:ascii="Times New Roman" w:hAnsi="Times New Roman" w:eastAsia="宋体" w:cs="Times New Roman"/>
                <w:b w:val="0"/>
                <w:bCs/>
                <w:color w:val="auto"/>
                <w:kern w:val="2"/>
                <w:sz w:val="24"/>
                <w:szCs w:val="24"/>
                <w:highlight w:val="none"/>
                <w:lang w:val="en-US" w:eastAsia="zh-CN" w:bidi="ar-SA"/>
              </w:rPr>
              <w:t>半封闭式罩棚内</w:t>
            </w:r>
            <w:r>
              <w:rPr>
                <w:rFonts w:hint="default"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lang w:val="en-US" w:eastAsia="zh-CN"/>
              </w:rPr>
              <w:t>并在投料</w:t>
            </w:r>
            <w:r>
              <w:rPr>
                <w:rFonts w:hint="default" w:ascii="Times New Roman" w:hAnsi="Times New Roman" w:eastAsia="宋体" w:cs="Times New Roman"/>
                <w:b w:val="0"/>
                <w:bCs/>
                <w:color w:val="auto"/>
                <w:spacing w:val="0"/>
                <w:sz w:val="24"/>
                <w:szCs w:val="24"/>
                <w:highlight w:val="none"/>
                <w:lang w:val="en-US" w:eastAsia="zh-CN"/>
              </w:rPr>
              <w:t>斗</w:t>
            </w:r>
            <w:r>
              <w:rPr>
                <w:rFonts w:hint="eastAsia" w:ascii="Times New Roman" w:hAnsi="Times New Roman" w:eastAsia="宋体" w:cs="Times New Roman"/>
                <w:b w:val="0"/>
                <w:bCs/>
                <w:color w:val="auto"/>
                <w:spacing w:val="0"/>
                <w:sz w:val="24"/>
                <w:szCs w:val="24"/>
                <w:highlight w:val="none"/>
                <w:lang w:val="en-US" w:eastAsia="zh-CN"/>
              </w:rPr>
              <w:t>上方</w:t>
            </w:r>
            <w:r>
              <w:rPr>
                <w:rFonts w:hint="default" w:ascii="Times New Roman" w:hAnsi="Times New Roman" w:eastAsia="宋体" w:cs="Times New Roman"/>
                <w:b w:val="0"/>
                <w:bCs/>
                <w:color w:val="auto"/>
                <w:spacing w:val="0"/>
                <w:sz w:val="24"/>
                <w:szCs w:val="24"/>
                <w:highlight w:val="none"/>
                <w:lang w:val="en-US" w:eastAsia="zh-CN"/>
              </w:rPr>
              <w:t>设置</w:t>
            </w:r>
            <w:r>
              <w:rPr>
                <w:rFonts w:hint="eastAsia" w:ascii="Times New Roman" w:hAnsi="Times New Roman" w:eastAsia="宋体" w:cs="Times New Roman"/>
                <w:b w:val="0"/>
                <w:bCs/>
                <w:color w:val="auto"/>
                <w:spacing w:val="0"/>
                <w:sz w:val="24"/>
                <w:szCs w:val="24"/>
                <w:highlight w:val="none"/>
                <w:lang w:val="en-US" w:eastAsia="zh-CN"/>
              </w:rPr>
              <w:t>雾化喷淋装置；水泥、砂石、粉煤灰进入搅拌机均采用密闭式皮带输送</w:t>
            </w:r>
            <w:r>
              <w:rPr>
                <w:rFonts w:hint="default" w:ascii="Times New Roman" w:hAnsi="Times New Roman" w:eastAsia="宋体" w:cs="Times New Roman"/>
                <w:b w:val="0"/>
                <w:bCs/>
                <w:color w:val="auto"/>
                <w:spacing w:val="0"/>
                <w:sz w:val="24"/>
                <w:szCs w:val="24"/>
                <w:highlight w:val="none"/>
              </w:rPr>
              <w:t>。通过采取</w:t>
            </w:r>
            <w:r>
              <w:rPr>
                <w:rFonts w:hint="default" w:ascii="Times New Roman" w:hAnsi="Times New Roman" w:eastAsia="宋体" w:cs="Times New Roman"/>
                <w:b w:val="0"/>
                <w:bCs/>
                <w:color w:val="auto"/>
                <w:spacing w:val="0"/>
                <w:sz w:val="24"/>
                <w:szCs w:val="24"/>
                <w:highlight w:val="none"/>
                <w:lang w:val="en-US" w:eastAsia="zh-CN"/>
              </w:rPr>
              <w:t>以上降尘措施后，颗粒物厂界外无组织排放监控点浓度满足《水泥工业大气污染物排放标准》（GB4915-2013）表3中标准要求。</w:t>
            </w:r>
            <w:r>
              <w:rPr>
                <w:rFonts w:hint="eastAsia" w:ascii="Times New Roman" w:hAnsi="Times New Roman" w:eastAsia="宋体" w:cs="Times New Roman"/>
                <w:b w:val="0"/>
                <w:bCs/>
                <w:color w:val="auto"/>
                <w:spacing w:val="0"/>
                <w:sz w:val="24"/>
                <w:szCs w:val="24"/>
                <w:highlight w:val="none"/>
                <w:lang w:val="en-US" w:eastAsia="zh-CN"/>
              </w:rPr>
              <w:t>混凝土</w:t>
            </w:r>
            <w:r>
              <w:rPr>
                <w:rFonts w:hint="default" w:ascii="Times New Roman" w:hAnsi="Times New Roman" w:eastAsia="宋体" w:cs="Times New Roman"/>
                <w:b w:val="0"/>
                <w:bCs/>
                <w:color w:val="auto"/>
                <w:spacing w:val="0"/>
                <w:sz w:val="24"/>
                <w:szCs w:val="24"/>
                <w:highlight w:val="none"/>
                <w:lang w:val="en-US" w:eastAsia="zh-CN"/>
              </w:rPr>
              <w:t>搅拌机通气口设置1套布袋除尘器，</w:t>
            </w:r>
            <w:r>
              <w:rPr>
                <w:rFonts w:hint="default" w:ascii="Times New Roman" w:hAnsi="Times New Roman" w:eastAsia="宋体" w:cs="Times New Roman"/>
                <w:b w:val="0"/>
                <w:bCs/>
                <w:color w:val="auto"/>
                <w:kern w:val="2"/>
                <w:sz w:val="24"/>
                <w:szCs w:val="24"/>
                <w:highlight w:val="none"/>
                <w:lang w:val="en-US" w:eastAsia="zh-CN" w:bidi="ar-SA"/>
              </w:rPr>
              <w:t>搅拌主机卸料口应设置</w:t>
            </w:r>
            <w:r>
              <w:rPr>
                <w:rFonts w:hint="eastAsia" w:ascii="Times New Roman" w:hAnsi="Times New Roman" w:eastAsia="宋体" w:cs="Times New Roman"/>
                <w:b w:val="0"/>
                <w:bCs/>
                <w:color w:val="auto"/>
                <w:kern w:val="2"/>
                <w:sz w:val="24"/>
                <w:szCs w:val="24"/>
                <w:highlight w:val="none"/>
                <w:lang w:val="en-US" w:eastAsia="zh-CN" w:bidi="ar-SA"/>
              </w:rPr>
              <w:t>防喷溅设施，搅拌</w:t>
            </w:r>
            <w:r>
              <w:rPr>
                <w:rFonts w:hint="eastAsia" w:ascii="Times New Roman" w:hAnsi="Times New Roman" w:eastAsia="宋体" w:cs="Times New Roman"/>
                <w:b w:val="0"/>
                <w:bCs/>
                <w:color w:val="auto"/>
                <w:spacing w:val="0"/>
                <w:sz w:val="24"/>
                <w:szCs w:val="24"/>
                <w:highlight w:val="none"/>
                <w:lang w:val="en-US" w:eastAsia="zh-CN"/>
              </w:rPr>
              <w:t>粉尘经除尘器处理后以无组织形式排放至车间内部</w:t>
            </w:r>
            <w:r>
              <w:rPr>
                <w:rFonts w:hint="default" w:ascii="Times New Roman" w:hAnsi="Times New Roman" w:eastAsia="宋体" w:cs="Times New Roman"/>
                <w:b w:val="0"/>
                <w:bCs/>
                <w:color w:val="auto"/>
                <w:spacing w:val="0"/>
                <w:sz w:val="24"/>
                <w:szCs w:val="24"/>
                <w:highlight w:val="none"/>
                <w:lang w:val="en-US" w:eastAsia="zh-CN"/>
              </w:rPr>
              <w:t>，颗粒物满足《水泥工业大气污染物排放标准》（GB4915-2013）中</w:t>
            </w:r>
            <w:r>
              <w:rPr>
                <w:rFonts w:hint="eastAsia" w:ascii="Times New Roman" w:hAnsi="Times New Roman" w:eastAsia="宋体" w:cs="Times New Roman"/>
                <w:b w:val="0"/>
                <w:bCs/>
                <w:color w:val="auto"/>
                <w:spacing w:val="0"/>
                <w:sz w:val="24"/>
                <w:szCs w:val="24"/>
                <w:highlight w:val="none"/>
                <w:lang w:val="en-US" w:eastAsia="zh-CN"/>
              </w:rPr>
              <w:t>表</w:t>
            </w:r>
            <w:r>
              <w:rPr>
                <w:rFonts w:hint="default" w:ascii="Times New Roman" w:hAnsi="Times New Roman" w:eastAsia="宋体" w:cs="Times New Roman"/>
                <w:b w:val="0"/>
                <w:bCs/>
                <w:color w:val="auto"/>
                <w:spacing w:val="0"/>
                <w:sz w:val="24"/>
                <w:szCs w:val="24"/>
                <w:highlight w:val="none"/>
                <w:lang w:val="en-US" w:eastAsia="zh-CN"/>
              </w:rPr>
              <w:t>3</w:t>
            </w:r>
            <w:r>
              <w:rPr>
                <w:rFonts w:hint="eastAsia" w:ascii="Times New Roman" w:hAnsi="Times New Roman" w:eastAsia="宋体" w:cs="Times New Roman"/>
                <w:b w:val="0"/>
                <w:bCs/>
                <w:color w:val="auto"/>
                <w:spacing w:val="0"/>
                <w:sz w:val="24"/>
                <w:szCs w:val="24"/>
                <w:highlight w:val="none"/>
                <w:lang w:val="en-US" w:eastAsia="zh-CN"/>
              </w:rPr>
              <w:t>标准限值</w:t>
            </w:r>
            <w:r>
              <w:rPr>
                <w:rFonts w:hint="default" w:ascii="Times New Roman" w:hAnsi="Times New Roman" w:eastAsia="宋体" w:cs="Times New Roman"/>
                <w:b w:val="0"/>
                <w:bCs/>
                <w:color w:val="auto"/>
                <w:spacing w:val="0"/>
                <w:sz w:val="24"/>
                <w:szCs w:val="24"/>
                <w:highlight w:val="none"/>
                <w:lang w:val="en-US" w:eastAsia="zh-CN"/>
              </w:rPr>
              <w:t>。</w:t>
            </w:r>
            <w:r>
              <w:rPr>
                <w:rFonts w:hint="default" w:ascii="Times New Roman" w:hAnsi="Times New Roman" w:eastAsia="宋体" w:cs="Times New Roman"/>
                <w:b w:val="0"/>
                <w:bCs/>
                <w:color w:val="auto"/>
                <w:spacing w:val="0"/>
                <w:sz w:val="24"/>
                <w:szCs w:val="24"/>
                <w:highlight w:val="none"/>
              </w:rPr>
              <w:t>本项目筒仓</w:t>
            </w:r>
            <w:r>
              <w:rPr>
                <w:rFonts w:hint="eastAsia" w:ascii="Times New Roman" w:hAnsi="Times New Roman" w:eastAsia="宋体" w:cs="Times New Roman"/>
                <w:b w:val="0"/>
                <w:bCs/>
                <w:color w:val="auto"/>
                <w:spacing w:val="0"/>
                <w:sz w:val="24"/>
                <w:szCs w:val="24"/>
                <w:highlight w:val="none"/>
                <w:lang w:val="en-US" w:eastAsia="zh-CN"/>
              </w:rPr>
              <w:t>及搅拌</w:t>
            </w:r>
            <w:r>
              <w:rPr>
                <w:rFonts w:hint="default" w:ascii="Times New Roman" w:hAnsi="Times New Roman" w:eastAsia="宋体" w:cs="Times New Roman"/>
                <w:b w:val="0"/>
                <w:bCs/>
                <w:color w:val="auto"/>
                <w:spacing w:val="0"/>
                <w:sz w:val="24"/>
                <w:szCs w:val="24"/>
                <w:highlight w:val="none"/>
              </w:rPr>
              <w:t>粉尘根据《排污许可证申请与核发技术规范 水泥工业》（H847-2017），颗粒物治理采用布袋除尘器是可行技术</w:t>
            </w:r>
            <w:r>
              <w:rPr>
                <w:rFonts w:hint="eastAsia" w:ascii="Times New Roman" w:hAnsi="Times New Roman" w:eastAsia="宋体" w:cs="Times New Roman"/>
                <w:b w:val="0"/>
                <w:bCs/>
                <w:color w:val="auto"/>
                <w:spacing w:val="0"/>
                <w:sz w:val="24"/>
                <w:szCs w:val="24"/>
                <w:highlight w:val="none"/>
                <w:lang w:eastAsia="zh-CN"/>
              </w:rPr>
              <w:t>。</w:t>
            </w:r>
            <w:r>
              <w:rPr>
                <w:rFonts w:hint="default" w:ascii="Times New Roman" w:hAnsi="Times New Roman" w:eastAsia="宋体" w:cs="Times New Roman"/>
                <w:b w:val="0"/>
                <w:bCs/>
                <w:color w:val="auto"/>
                <w:spacing w:val="0"/>
                <w:sz w:val="24"/>
                <w:szCs w:val="24"/>
                <w:highlight w:val="none"/>
              </w:rPr>
              <w:t>本项目废气采用的处理设施均属于《排污许可证申请与核发技术规范 水泥工业》（HJ847—2017）</w:t>
            </w:r>
            <w:r>
              <w:rPr>
                <w:rFonts w:hint="eastAsia" w:ascii="Times New Roman" w:hAnsi="Times New Roman" w:eastAsia="宋体" w:cs="Times New Roman"/>
                <w:b w:val="0"/>
                <w:bCs/>
                <w:color w:val="auto"/>
                <w:spacing w:val="0"/>
                <w:sz w:val="24"/>
                <w:szCs w:val="24"/>
                <w:highlight w:val="none"/>
              </w:rPr>
              <w:t>和《水泥工业除尘技术规范》</w:t>
            </w:r>
            <w:r>
              <w:rPr>
                <w:rFonts w:hint="default" w:ascii="Times New Roman" w:hAnsi="Times New Roman" w:eastAsia="宋体" w:cs="Times New Roman"/>
                <w:b w:val="0"/>
                <w:bCs/>
                <w:color w:val="auto"/>
                <w:spacing w:val="0"/>
                <w:sz w:val="24"/>
                <w:szCs w:val="24"/>
                <w:highlight w:val="none"/>
              </w:rPr>
              <w:t>中提出的可行性技术。本项目采取的废气环境保护措施可行，可实现污染物达标排放，对区域大气环境影响较小。</w:t>
            </w:r>
          </w:p>
          <w:p>
            <w:pPr>
              <w:pStyle w:val="132"/>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cs="Times New Roman"/>
                <w:b w:val="0"/>
                <w:bCs/>
                <w:color w:val="auto"/>
                <w:kern w:val="2"/>
                <w:sz w:val="24"/>
                <w:szCs w:val="24"/>
                <w:highlight w:val="none"/>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、非正常工况</w:t>
            </w:r>
          </w:p>
          <w:p>
            <w:pPr>
              <w:pStyle w:val="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本项目非正常工况废气排放代表性事故表现为污染物防治措施故障情况下废气超标排放情况，根据本项目特点，主要表现为废气治理设施故障。</w:t>
            </w:r>
          </w:p>
          <w:p>
            <w:pPr>
              <w:pStyle w:val="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项目生产设备启动前按照程序先启动相应废气处理措施，废气处理措施正常运行后方可进行生产设备启动，故项目生产设施开停机非正常情况下亦不会产生废气未经处理直接排放情况。</w:t>
            </w:r>
          </w:p>
          <w:p>
            <w:pPr>
              <w:pStyle w:val="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color w:val="auto"/>
                <w:sz w:val="24"/>
                <w:szCs w:val="24"/>
                <w:highlight w:val="none"/>
              </w:rPr>
              <w:t>本项目</w:t>
            </w:r>
            <w:r>
              <w:rPr>
                <w:rFonts w:hint="eastAsia" w:cs="Times New Roman"/>
                <w:b w:val="0"/>
                <w:bCs/>
                <w:color w:val="auto"/>
                <w:sz w:val="24"/>
                <w:szCs w:val="24"/>
                <w:highlight w:val="none"/>
                <w:lang w:val="en-US" w:eastAsia="zh-CN"/>
              </w:rPr>
              <w:t>搅拌站、粉煤灰、</w:t>
            </w:r>
            <w:r>
              <w:rPr>
                <w:rFonts w:hint="eastAsia" w:ascii="Times New Roman" w:hAnsi="Times New Roman" w:eastAsia="宋体" w:cs="Times New Roman"/>
                <w:b w:val="0"/>
                <w:bCs/>
                <w:color w:val="auto"/>
                <w:sz w:val="24"/>
                <w:szCs w:val="24"/>
                <w:highlight w:val="none"/>
                <w:lang w:val="en-US" w:eastAsia="zh-CN"/>
              </w:rPr>
              <w:t>水泥筒仓</w:t>
            </w:r>
            <w:r>
              <w:rPr>
                <w:rFonts w:hint="default" w:ascii="Times New Roman" w:hAnsi="Times New Roman" w:eastAsia="宋体" w:cs="Times New Roman"/>
                <w:b w:val="0"/>
                <w:bCs/>
                <w:color w:val="auto"/>
                <w:sz w:val="24"/>
                <w:szCs w:val="24"/>
                <w:highlight w:val="none"/>
              </w:rPr>
              <w:t>以布袋除尘器故障的情况下计算非正常工况，去除效率降</w:t>
            </w:r>
            <w:r>
              <w:rPr>
                <w:rFonts w:hint="eastAsia" w:ascii="Times New Roman" w:hAnsi="Times New Roman" w:eastAsia="宋体" w:cs="Times New Roman"/>
                <w:b w:val="0"/>
                <w:bCs/>
                <w:color w:val="auto"/>
                <w:sz w:val="24"/>
                <w:szCs w:val="24"/>
                <w:highlight w:val="none"/>
                <w:lang w:val="en-US" w:eastAsia="zh-CN"/>
              </w:rPr>
              <w:t>至</w:t>
            </w:r>
            <w:r>
              <w:rPr>
                <w:rFonts w:hint="default" w:ascii="Times New Roman" w:hAnsi="Times New Roman" w:cs="Times New Roman"/>
                <w:b w:val="0"/>
                <w:bCs/>
                <w:color w:val="auto"/>
                <w:sz w:val="24"/>
                <w:szCs w:val="24"/>
                <w:highlight w:val="none"/>
                <w:lang w:val="en-US" w:eastAsia="zh-CN"/>
              </w:rPr>
              <w:t>70</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rPr>
              <w:t>考虑。本项目年运行</w:t>
            </w:r>
            <w:r>
              <w:rPr>
                <w:rFonts w:hint="eastAsia" w:cs="Times New Roman"/>
                <w:b w:val="0"/>
                <w:bCs/>
                <w:color w:val="auto"/>
                <w:sz w:val="24"/>
                <w:szCs w:val="24"/>
                <w:highlight w:val="none"/>
                <w:lang w:val="en-US" w:eastAsia="zh-CN"/>
              </w:rPr>
              <w:t>10</w:t>
            </w:r>
            <w:r>
              <w:rPr>
                <w:rFonts w:hint="default" w:ascii="Times New Roman" w:hAnsi="Times New Roman" w:cs="Times New Roman"/>
                <w:b w:val="0"/>
                <w:bCs/>
                <w:color w:val="auto"/>
                <w:sz w:val="24"/>
                <w:szCs w:val="24"/>
                <w:highlight w:val="none"/>
                <w:lang w:val="en-US" w:eastAsia="zh-CN"/>
              </w:rPr>
              <w:t>0</w:t>
            </w:r>
            <w:r>
              <w:rPr>
                <w:rFonts w:hint="default" w:ascii="Times New Roman" w:hAnsi="Times New Roman" w:eastAsia="宋体" w:cs="Times New Roman"/>
                <w:b w:val="0"/>
                <w:bCs/>
                <w:color w:val="auto"/>
                <w:sz w:val="24"/>
                <w:szCs w:val="24"/>
                <w:highlight w:val="none"/>
              </w:rPr>
              <w:t>天，每次污染物非正常排放情况发生时间不超过</w:t>
            </w:r>
            <w:r>
              <w:rPr>
                <w:rFonts w:hint="default" w:ascii="Times New Roman" w:hAnsi="Times New Roman" w:eastAsia="宋体" w:cs="Times New Roman"/>
                <w:b w:val="0"/>
                <w:bCs/>
                <w:color w:val="auto"/>
                <w:sz w:val="24"/>
                <w:szCs w:val="24"/>
                <w:highlight w:val="none"/>
                <w:lang w:val="en-US" w:eastAsia="zh-CN"/>
              </w:rPr>
              <w:t>0</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rPr>
              <w:t>小时，每年发生次数不超过</w:t>
            </w:r>
            <w:r>
              <w:rPr>
                <w:rFonts w:hint="default" w:ascii="Times New Roman" w:hAnsi="Times New Roman"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rPr>
              <w:t>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大气污染物源强非正常排放核算下表。</w:t>
            </w:r>
          </w:p>
          <w:p>
            <w:pPr>
              <w:pStyle w:val="8"/>
              <w:rPr>
                <w:rFonts w:hint="default" w:eastAsia="宋体"/>
                <w:color w:val="auto"/>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表</w:t>
            </w:r>
            <w:r>
              <w:rPr>
                <w:rFonts w:hint="default" w:ascii="Times New Roman" w:hAnsi="Times New Roman" w:eastAsia="宋体"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 xml:space="preserve">  污染源非常排放核算表</w:t>
            </w:r>
          </w:p>
          <w:tbl>
            <w:tblPr>
              <w:tblStyle w:val="32"/>
              <w:tblW w:w="884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342"/>
              <w:gridCol w:w="650"/>
              <w:gridCol w:w="1075"/>
              <w:gridCol w:w="950"/>
              <w:gridCol w:w="1037"/>
              <w:gridCol w:w="1113"/>
              <w:gridCol w:w="981"/>
              <w:gridCol w:w="8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0"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污染源</w:t>
                  </w:r>
                </w:p>
              </w:tc>
              <w:tc>
                <w:tcPr>
                  <w:tcW w:w="1342"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非正常排放原因</w:t>
                  </w:r>
                </w:p>
              </w:tc>
              <w:tc>
                <w:tcPr>
                  <w:tcW w:w="650"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w:t>
                  </w:r>
                </w:p>
              </w:tc>
              <w:tc>
                <w:tcPr>
                  <w:tcW w:w="1075"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设备非正常</w:t>
                  </w:r>
                  <w:r>
                    <w:rPr>
                      <w:rFonts w:hint="eastAsia" w:ascii="Times New Roman" w:hAnsi="Times New Roman" w:eastAsia="宋体" w:cs="Times New Roman"/>
                      <w:b w:val="0"/>
                      <w:bCs w:val="0"/>
                      <w:color w:val="auto"/>
                      <w:sz w:val="21"/>
                      <w:szCs w:val="21"/>
                      <w:highlight w:val="none"/>
                      <w:lang w:val="en-US" w:eastAsia="zh-CN"/>
                    </w:rPr>
                    <w:t>处理效率%</w:t>
                  </w:r>
                </w:p>
              </w:tc>
              <w:tc>
                <w:tcPr>
                  <w:tcW w:w="950"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非正常排放</w:t>
                  </w:r>
                  <w:r>
                    <w:rPr>
                      <w:rFonts w:hint="eastAsia" w:ascii="Times New Roman" w:hAnsi="Times New Roman" w:eastAsia="宋体" w:cs="Times New Roman"/>
                      <w:b w:val="0"/>
                      <w:bCs w:val="0"/>
                      <w:color w:val="auto"/>
                      <w:sz w:val="21"/>
                      <w:szCs w:val="21"/>
                      <w:highlight w:val="none"/>
                      <w:lang w:val="en-US" w:eastAsia="zh-CN"/>
                    </w:rPr>
                    <w:t>量</w:t>
                  </w:r>
                  <w:r>
                    <w:rPr>
                      <w:rFonts w:hint="default" w:ascii="Times New Roman" w:hAnsi="Times New Roman" w:eastAsia="宋体" w:cs="Times New Roman"/>
                      <w:b w:val="0"/>
                      <w:bCs w:val="0"/>
                      <w:color w:val="auto"/>
                      <w:sz w:val="21"/>
                      <w:szCs w:val="21"/>
                      <w:highlight w:val="none"/>
                      <w:lang w:val="en-US" w:eastAsia="zh-CN"/>
                    </w:rPr>
                    <w:t>kg</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h</w:t>
                  </w:r>
                </w:p>
              </w:tc>
              <w:tc>
                <w:tcPr>
                  <w:tcW w:w="1037"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rPr>
                    <w:t>非正常排放</w:t>
                  </w:r>
                  <w:r>
                    <w:rPr>
                      <w:rFonts w:hint="eastAsia" w:ascii="Times New Roman" w:hAnsi="Times New Roman" w:eastAsia="宋体" w:cs="Times New Roman"/>
                      <w:b w:val="0"/>
                      <w:bCs w:val="0"/>
                      <w:color w:val="auto"/>
                      <w:sz w:val="21"/>
                      <w:szCs w:val="21"/>
                      <w:highlight w:val="none"/>
                      <w:lang w:val="en-US" w:eastAsia="zh-CN"/>
                    </w:rPr>
                    <w:t>浓度</w:t>
                  </w:r>
                  <w:r>
                    <w:rPr>
                      <w:rFonts w:hint="default" w:ascii="Times New Roman" w:hAnsi="Times New Roman" w:eastAsia="宋体" w:cs="Times New Roman"/>
                      <w:b w:val="0"/>
                      <w:bCs w:val="0"/>
                      <w:color w:val="auto"/>
                      <w:sz w:val="21"/>
                      <w:szCs w:val="21"/>
                      <w:highlight w:val="none"/>
                      <w:lang w:val="en-US" w:eastAsia="zh-CN"/>
                    </w:rPr>
                    <w:t>mg</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1113"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单次持续时间（h）</w:t>
                  </w:r>
                </w:p>
              </w:tc>
              <w:tc>
                <w:tcPr>
                  <w:tcW w:w="981"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年发生频次（次）</w:t>
                  </w:r>
                </w:p>
              </w:tc>
              <w:tc>
                <w:tcPr>
                  <w:tcW w:w="817"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应对</w:t>
                  </w:r>
                </w:p>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0"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18"/>
                      <w:szCs w:val="18"/>
                      <w:highlight w:val="none"/>
                      <w:lang w:val="en-US" w:eastAsia="zh-CN"/>
                    </w:rPr>
                    <w:t>搅拌</w:t>
                  </w:r>
                  <w:r>
                    <w:rPr>
                      <w:rFonts w:hint="eastAsia" w:ascii="Times New Roman" w:hAnsi="Times New Roman" w:eastAsia="宋体" w:cs="Times New Roman"/>
                      <w:color w:val="auto"/>
                      <w:sz w:val="18"/>
                      <w:szCs w:val="18"/>
                      <w:highlight w:val="none"/>
                      <w:lang w:val="en-US" w:eastAsia="zh-CN"/>
                    </w:rPr>
                    <w:t>站</w:t>
                  </w:r>
                </w:p>
              </w:tc>
              <w:tc>
                <w:tcPr>
                  <w:tcW w:w="1342"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布袋除尘</w:t>
                  </w:r>
                  <w:r>
                    <w:rPr>
                      <w:rFonts w:hint="eastAsia" w:ascii="Times New Roman" w:hAnsi="Times New Roman" w:eastAsia="宋体" w:cs="Times New Roman"/>
                      <w:b w:val="0"/>
                      <w:bCs w:val="0"/>
                      <w:color w:val="auto"/>
                      <w:sz w:val="21"/>
                      <w:szCs w:val="21"/>
                      <w:highlight w:val="none"/>
                      <w:lang w:val="en-US" w:eastAsia="zh-CN"/>
                    </w:rPr>
                    <w:t>器突发故障</w:t>
                  </w:r>
                </w:p>
              </w:tc>
              <w:tc>
                <w:tcPr>
                  <w:tcW w:w="650"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颗粒物</w:t>
                  </w:r>
                </w:p>
              </w:tc>
              <w:tc>
                <w:tcPr>
                  <w:tcW w:w="1075"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70</w:t>
                  </w:r>
                </w:p>
              </w:tc>
              <w:tc>
                <w:tcPr>
                  <w:tcW w:w="950"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1.46</w:t>
                  </w:r>
                </w:p>
              </w:tc>
              <w:tc>
                <w:tcPr>
                  <w:tcW w:w="1037"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182.81</w:t>
                  </w:r>
                </w:p>
              </w:tc>
              <w:tc>
                <w:tcPr>
                  <w:tcW w:w="1113"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5</w:t>
                  </w:r>
                </w:p>
              </w:tc>
              <w:tc>
                <w:tcPr>
                  <w:tcW w:w="981"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1</w:t>
                  </w:r>
                </w:p>
              </w:tc>
              <w:tc>
                <w:tcPr>
                  <w:tcW w:w="817" w:type="dxa"/>
                  <w:vMerge w:val="restart"/>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加强日常检修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80"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粉煤灰筒仓</w:t>
                  </w:r>
                </w:p>
              </w:tc>
              <w:tc>
                <w:tcPr>
                  <w:tcW w:w="1342"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布袋除尘</w:t>
                  </w:r>
                  <w:r>
                    <w:rPr>
                      <w:rFonts w:hint="eastAsia" w:ascii="Times New Roman" w:hAnsi="Times New Roman" w:eastAsia="宋体" w:cs="Times New Roman"/>
                      <w:b w:val="0"/>
                      <w:bCs w:val="0"/>
                      <w:color w:val="auto"/>
                      <w:sz w:val="21"/>
                      <w:szCs w:val="21"/>
                      <w:highlight w:val="none"/>
                      <w:lang w:val="en-US" w:eastAsia="zh-CN"/>
                    </w:rPr>
                    <w:t>器突发故障</w:t>
                  </w:r>
                </w:p>
              </w:tc>
              <w:tc>
                <w:tcPr>
                  <w:tcW w:w="650"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颗粒物</w:t>
                  </w:r>
                </w:p>
              </w:tc>
              <w:tc>
                <w:tcPr>
                  <w:tcW w:w="1075"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70</w:t>
                  </w:r>
                </w:p>
              </w:tc>
              <w:tc>
                <w:tcPr>
                  <w:tcW w:w="950"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0.02</w:t>
                  </w:r>
                </w:p>
              </w:tc>
              <w:tc>
                <w:tcPr>
                  <w:tcW w:w="1037"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1113"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5</w:t>
                  </w:r>
                </w:p>
              </w:tc>
              <w:tc>
                <w:tcPr>
                  <w:tcW w:w="981"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1</w:t>
                  </w:r>
                </w:p>
              </w:tc>
              <w:tc>
                <w:tcPr>
                  <w:tcW w:w="817" w:type="dxa"/>
                  <w:vMerge w:val="continue"/>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jc w:val="center"/>
              </w:trPr>
              <w:tc>
                <w:tcPr>
                  <w:tcW w:w="880"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水泥</w:t>
                  </w:r>
                </w:p>
                <w:p>
                  <w:pPr>
                    <w:pStyle w:val="1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筒仓</w:t>
                  </w:r>
                </w:p>
              </w:tc>
              <w:tc>
                <w:tcPr>
                  <w:tcW w:w="1342"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布袋除尘</w:t>
                  </w:r>
                  <w:r>
                    <w:rPr>
                      <w:rFonts w:hint="eastAsia" w:ascii="Times New Roman" w:hAnsi="Times New Roman" w:eastAsia="宋体" w:cs="Times New Roman"/>
                      <w:b w:val="0"/>
                      <w:bCs w:val="0"/>
                      <w:color w:val="auto"/>
                      <w:sz w:val="21"/>
                      <w:szCs w:val="21"/>
                      <w:highlight w:val="none"/>
                      <w:lang w:val="en-US" w:eastAsia="zh-CN"/>
                    </w:rPr>
                    <w:t>器突发故障</w:t>
                  </w:r>
                </w:p>
              </w:tc>
              <w:tc>
                <w:tcPr>
                  <w:tcW w:w="650"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颗粒物</w:t>
                  </w:r>
                </w:p>
              </w:tc>
              <w:tc>
                <w:tcPr>
                  <w:tcW w:w="1075"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cs="Times New Roman"/>
                      <w:b w:val="0"/>
                      <w:bCs w:val="0"/>
                      <w:color w:val="auto"/>
                      <w:sz w:val="21"/>
                      <w:szCs w:val="21"/>
                      <w:highlight w:val="none"/>
                      <w:lang w:val="en-US" w:eastAsia="zh-CN"/>
                    </w:rPr>
                    <w:t>70</w:t>
                  </w: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0.001</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1113"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5</w:t>
                  </w:r>
                </w:p>
              </w:tc>
              <w:tc>
                <w:tcPr>
                  <w:tcW w:w="981" w:type="dxa"/>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1</w:t>
                  </w:r>
                </w:p>
              </w:tc>
              <w:tc>
                <w:tcPr>
                  <w:tcW w:w="817" w:type="dxa"/>
                  <w:vMerge w:val="continue"/>
                  <w:tcBorders>
                    <w:tl2br w:val="nil"/>
                    <w:tr2bl w:val="nil"/>
                  </w:tcBorders>
                  <w:noWrap w:val="0"/>
                  <w:vAlign w:val="center"/>
                </w:tcPr>
                <w:p>
                  <w:pPr>
                    <w:pStyle w:val="1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r>
          </w:tbl>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由上表数据分析，当污染物治理措施故障处理效率故障时，颗粒物浓度超标。应尽量避免非正常工况废气排放，因此在生产过程中要定期对布袋除尘器进行检查，同时加强设备维护，减少污染物非正常排放情况的发生概率。</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val="en-US" w:eastAsia="zh-CN"/>
              </w:rPr>
              <w:t>4</w:t>
            </w:r>
            <w:r>
              <w:rPr>
                <w:rFonts w:hint="eastAsia" w:cs="Times New Roman"/>
                <w:bCs/>
                <w:color w:val="auto"/>
                <w:sz w:val="24"/>
                <w:highlight w:val="none"/>
                <w:lang w:val="en-US" w:eastAsia="zh-CN"/>
              </w:rPr>
              <w:t>、</w:t>
            </w:r>
            <w:r>
              <w:rPr>
                <w:rFonts w:hint="default" w:ascii="Times New Roman" w:hAnsi="Times New Roman" w:cs="Times New Roman"/>
                <w:bCs/>
                <w:color w:val="auto"/>
                <w:sz w:val="24"/>
                <w:highlight w:val="none"/>
              </w:rPr>
              <w:t>达标排放分析</w:t>
            </w:r>
          </w:p>
          <w:p>
            <w:pPr>
              <w:pStyle w:val="12"/>
              <w:spacing w:before="0" w:after="0" w:line="360" w:lineRule="auto"/>
              <w:ind w:right="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rPr>
              <w:t>综上，</w:t>
            </w:r>
            <w:r>
              <w:rPr>
                <w:rFonts w:hint="eastAsia" w:ascii="Times New Roman" w:hAnsi="Times New Roman" w:eastAsia="宋体" w:cs="Times New Roman"/>
                <w:b w:val="0"/>
                <w:bCs/>
                <w:color w:val="auto"/>
                <w:spacing w:val="0"/>
                <w:sz w:val="24"/>
                <w:szCs w:val="24"/>
                <w:highlight w:val="none"/>
              </w:rPr>
              <w:t>原料</w:t>
            </w:r>
            <w:r>
              <w:rPr>
                <w:rFonts w:hint="default" w:ascii="Times New Roman" w:hAnsi="Times New Roman" w:eastAsia="宋体" w:cs="Times New Roman"/>
                <w:b w:val="0"/>
                <w:bCs/>
                <w:color w:val="auto"/>
                <w:spacing w:val="0"/>
                <w:sz w:val="24"/>
                <w:szCs w:val="24"/>
                <w:highlight w:val="none"/>
              </w:rPr>
              <w:t>采用卡车运输，卡车用苫布苫盖</w:t>
            </w:r>
            <w:r>
              <w:rPr>
                <w:rFonts w:hint="eastAsia" w:ascii="Times New Roman" w:hAnsi="Times New Roman" w:eastAsia="宋体" w:cs="Times New Roman"/>
                <w:b w:val="0"/>
                <w:bCs/>
                <w:color w:val="auto"/>
                <w:spacing w:val="0"/>
                <w:sz w:val="24"/>
                <w:szCs w:val="24"/>
                <w:highlight w:val="none"/>
              </w:rPr>
              <w:t>，</w:t>
            </w:r>
            <w:r>
              <w:rPr>
                <w:rFonts w:hint="eastAsia" w:cs="Times New Roman"/>
                <w:b w:val="0"/>
                <w:bCs/>
                <w:color w:val="auto"/>
                <w:spacing w:val="0"/>
                <w:sz w:val="24"/>
                <w:szCs w:val="24"/>
                <w:highlight w:val="none"/>
                <w:lang w:eastAsia="zh-CN"/>
              </w:rPr>
              <w:t>水泥采用专用水泥运输罐车运输</w:t>
            </w:r>
            <w:r>
              <w:rPr>
                <w:rFonts w:hint="eastAsia"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rPr>
              <w:t>厂区地面进行硬化，</w:t>
            </w:r>
            <w:r>
              <w:rPr>
                <w:rFonts w:hint="eastAsia" w:ascii="Times New Roman" w:hAnsi="Times New Roman" w:eastAsia="宋体" w:cs="Times New Roman"/>
                <w:b w:val="0"/>
                <w:bCs/>
                <w:color w:val="auto"/>
                <w:spacing w:val="0"/>
                <w:sz w:val="24"/>
                <w:szCs w:val="24"/>
                <w:highlight w:val="none"/>
                <w:lang w:val="en-US" w:eastAsia="zh-CN"/>
              </w:rPr>
              <w:t>且对厂区进行洒水抑尘</w:t>
            </w:r>
            <w:r>
              <w:rPr>
                <w:rFonts w:hint="eastAsia" w:ascii="Times New Roman" w:hAnsi="Times New Roman" w:eastAsia="宋体" w:cs="Times New Roman"/>
                <w:b w:val="0"/>
                <w:bCs/>
                <w:color w:val="auto"/>
                <w:spacing w:val="0"/>
                <w:sz w:val="24"/>
                <w:szCs w:val="24"/>
                <w:highlight w:val="none"/>
              </w:rPr>
              <w:t>；本项目</w:t>
            </w:r>
            <w:r>
              <w:rPr>
                <w:rFonts w:hint="eastAsia" w:ascii="Times New Roman" w:hAnsi="Times New Roman" w:eastAsia="宋体" w:cs="Times New Roman"/>
                <w:b w:val="0"/>
                <w:bCs/>
                <w:color w:val="auto"/>
                <w:spacing w:val="0"/>
                <w:sz w:val="24"/>
                <w:szCs w:val="24"/>
                <w:highlight w:val="none"/>
                <w:lang w:val="en-US" w:eastAsia="zh-CN"/>
              </w:rPr>
              <w:t>砂石料</w:t>
            </w:r>
            <w:r>
              <w:rPr>
                <w:rFonts w:hint="default" w:ascii="Times New Roman" w:hAnsi="Times New Roman" w:eastAsia="宋体" w:cs="Times New Roman"/>
                <w:b w:val="0"/>
                <w:bCs/>
                <w:color w:val="auto"/>
                <w:spacing w:val="0"/>
                <w:sz w:val="24"/>
                <w:szCs w:val="24"/>
                <w:highlight w:val="none"/>
                <w:lang w:val="en-US" w:eastAsia="zh-CN"/>
              </w:rPr>
              <w:t>堆</w:t>
            </w:r>
            <w:r>
              <w:rPr>
                <w:rFonts w:hint="eastAsia" w:ascii="Times New Roman" w:hAnsi="Times New Roman" w:eastAsia="宋体" w:cs="Times New Roman"/>
                <w:b w:val="0"/>
                <w:bCs/>
                <w:color w:val="auto"/>
                <w:spacing w:val="0"/>
                <w:sz w:val="24"/>
                <w:szCs w:val="24"/>
                <w:highlight w:val="none"/>
                <w:lang w:val="en-US" w:eastAsia="zh-CN"/>
              </w:rPr>
              <w:t>场</w:t>
            </w:r>
            <w:r>
              <w:rPr>
                <w:rFonts w:hint="eastAsia" w:ascii="Times New Roman" w:hAnsi="Times New Roman" w:eastAsia="宋体" w:cs="Times New Roman"/>
                <w:b w:val="0"/>
                <w:bCs/>
                <w:color w:val="auto"/>
                <w:spacing w:val="0"/>
                <w:sz w:val="24"/>
                <w:szCs w:val="24"/>
                <w:highlight w:val="none"/>
                <w:lang w:eastAsia="zh-CN"/>
              </w:rPr>
              <w:t>四周设置</w:t>
            </w:r>
            <w:r>
              <w:rPr>
                <w:rFonts w:hint="default" w:ascii="Times New Roman" w:hAnsi="Times New Roman" w:eastAsia="宋体" w:cs="Times New Roman"/>
                <w:b w:val="0"/>
                <w:bCs/>
                <w:color w:val="auto"/>
                <w:spacing w:val="0"/>
                <w:sz w:val="24"/>
                <w:szCs w:val="24"/>
                <w:highlight w:val="none"/>
                <w:lang w:val="en-US" w:eastAsia="zh-CN"/>
              </w:rPr>
              <w:t>防风抑尘网</w:t>
            </w:r>
            <w:r>
              <w:rPr>
                <w:rFonts w:hint="eastAsia" w:ascii="Times New Roman" w:hAnsi="Times New Roman" w:eastAsia="宋体" w:cs="Times New Roman"/>
                <w:b w:val="0"/>
                <w:bCs/>
                <w:color w:val="auto"/>
                <w:spacing w:val="0"/>
                <w:sz w:val="24"/>
                <w:szCs w:val="24"/>
                <w:highlight w:val="none"/>
                <w:lang w:val="en-US" w:eastAsia="zh-CN"/>
              </w:rPr>
              <w:t>，并洒水抑尘；水泥和粉煤灰采用筒仓存储，水泥、粉煤灰筒仓</w:t>
            </w:r>
            <w:r>
              <w:rPr>
                <w:rFonts w:hint="eastAsia" w:ascii="Times New Roman" w:hAnsi="Times New Roman" w:eastAsia="宋体" w:cs="Times New Roman"/>
                <w:b w:val="0"/>
                <w:bCs/>
                <w:color w:val="auto"/>
                <w:spacing w:val="0"/>
                <w:sz w:val="24"/>
                <w:szCs w:val="24"/>
                <w:highlight w:val="none"/>
              </w:rPr>
              <w:t>均配备仓顶式布袋除尘器，废气经处理后由无组织形式排放；</w:t>
            </w:r>
            <w:r>
              <w:rPr>
                <w:rFonts w:hint="eastAsia" w:ascii="Times New Roman" w:hAnsi="Times New Roman" w:eastAsia="宋体" w:cs="Times New Roman"/>
                <w:b w:val="0"/>
                <w:bCs/>
                <w:color w:val="auto"/>
                <w:spacing w:val="0"/>
                <w:sz w:val="24"/>
                <w:szCs w:val="24"/>
                <w:highlight w:val="none"/>
                <w:lang w:val="en-US" w:eastAsia="zh-CN"/>
              </w:rPr>
              <w:t>投料</w:t>
            </w:r>
            <w:r>
              <w:rPr>
                <w:rFonts w:hint="default" w:ascii="Times New Roman" w:hAnsi="Times New Roman" w:eastAsia="宋体" w:cs="Times New Roman"/>
                <w:b w:val="0"/>
                <w:bCs/>
                <w:color w:val="auto"/>
                <w:spacing w:val="0"/>
                <w:sz w:val="24"/>
                <w:szCs w:val="24"/>
                <w:highlight w:val="none"/>
                <w:lang w:val="en-US" w:eastAsia="zh-CN"/>
              </w:rPr>
              <w:t>斗设置</w:t>
            </w:r>
            <w:r>
              <w:rPr>
                <w:rFonts w:hint="eastAsia" w:ascii="Times New Roman" w:hAnsi="Times New Roman" w:eastAsia="宋体" w:cs="Times New Roman"/>
                <w:b w:val="0"/>
                <w:bCs/>
                <w:color w:val="auto"/>
                <w:spacing w:val="0"/>
                <w:sz w:val="24"/>
                <w:szCs w:val="24"/>
                <w:highlight w:val="none"/>
                <w:lang w:val="en-US" w:eastAsia="zh-CN"/>
              </w:rPr>
              <w:t>在</w:t>
            </w:r>
            <w:r>
              <w:rPr>
                <w:rFonts w:hint="eastAsia" w:ascii="Times New Roman" w:hAnsi="Times New Roman" w:eastAsia="宋体" w:cs="Times New Roman"/>
                <w:b w:val="0"/>
                <w:bCs/>
                <w:color w:val="auto"/>
                <w:kern w:val="2"/>
                <w:sz w:val="24"/>
                <w:szCs w:val="24"/>
                <w:highlight w:val="none"/>
                <w:lang w:val="en-US" w:eastAsia="zh-CN" w:bidi="ar-SA"/>
              </w:rPr>
              <w:t>半封闭式罩棚内</w:t>
            </w:r>
            <w:r>
              <w:rPr>
                <w:rFonts w:hint="default"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lang w:val="en-US" w:eastAsia="zh-CN"/>
              </w:rPr>
              <w:t>并在投料</w:t>
            </w:r>
            <w:r>
              <w:rPr>
                <w:rFonts w:hint="default" w:ascii="Times New Roman" w:hAnsi="Times New Roman" w:eastAsia="宋体" w:cs="Times New Roman"/>
                <w:b w:val="0"/>
                <w:bCs/>
                <w:color w:val="auto"/>
                <w:spacing w:val="0"/>
                <w:sz w:val="24"/>
                <w:szCs w:val="24"/>
                <w:highlight w:val="none"/>
                <w:lang w:val="en-US" w:eastAsia="zh-CN"/>
              </w:rPr>
              <w:t>斗</w:t>
            </w:r>
            <w:r>
              <w:rPr>
                <w:rFonts w:hint="eastAsia" w:ascii="Times New Roman" w:hAnsi="Times New Roman" w:eastAsia="宋体" w:cs="Times New Roman"/>
                <w:b w:val="0"/>
                <w:bCs/>
                <w:color w:val="auto"/>
                <w:spacing w:val="0"/>
                <w:sz w:val="24"/>
                <w:szCs w:val="24"/>
                <w:highlight w:val="none"/>
                <w:lang w:val="en-US" w:eastAsia="zh-CN"/>
              </w:rPr>
              <w:t>上方</w:t>
            </w:r>
            <w:r>
              <w:rPr>
                <w:rFonts w:hint="default" w:ascii="Times New Roman" w:hAnsi="Times New Roman" w:eastAsia="宋体" w:cs="Times New Roman"/>
                <w:b w:val="0"/>
                <w:bCs/>
                <w:color w:val="auto"/>
                <w:spacing w:val="0"/>
                <w:sz w:val="24"/>
                <w:szCs w:val="24"/>
                <w:highlight w:val="none"/>
                <w:lang w:val="en-US" w:eastAsia="zh-CN"/>
              </w:rPr>
              <w:t>设置</w:t>
            </w:r>
            <w:r>
              <w:rPr>
                <w:rFonts w:hint="eastAsia" w:ascii="Times New Roman" w:hAnsi="Times New Roman" w:eastAsia="宋体" w:cs="Times New Roman"/>
                <w:b w:val="0"/>
                <w:bCs/>
                <w:color w:val="auto"/>
                <w:spacing w:val="0"/>
                <w:sz w:val="24"/>
                <w:szCs w:val="24"/>
                <w:highlight w:val="none"/>
                <w:lang w:val="en-US" w:eastAsia="zh-CN"/>
              </w:rPr>
              <w:t>雾化喷淋装置；水泥、砂石、粉煤灰进入搅拌机均采用密闭式皮带输送</w:t>
            </w:r>
            <w:r>
              <w:rPr>
                <w:rFonts w:hint="default" w:ascii="Times New Roman" w:hAnsi="Times New Roman" w:eastAsia="宋体" w:cs="Times New Roman"/>
                <w:b w:val="0"/>
                <w:bCs/>
                <w:color w:val="auto"/>
                <w:spacing w:val="0"/>
                <w:sz w:val="24"/>
                <w:szCs w:val="24"/>
                <w:highlight w:val="none"/>
              </w:rPr>
              <w:t>。通过采取</w:t>
            </w:r>
            <w:r>
              <w:rPr>
                <w:rFonts w:hint="default" w:ascii="Times New Roman" w:hAnsi="Times New Roman" w:eastAsia="宋体" w:cs="Times New Roman"/>
                <w:b w:val="0"/>
                <w:bCs/>
                <w:color w:val="auto"/>
                <w:spacing w:val="0"/>
                <w:sz w:val="24"/>
                <w:szCs w:val="24"/>
                <w:highlight w:val="none"/>
                <w:lang w:val="en-US" w:eastAsia="zh-CN"/>
              </w:rPr>
              <w:t>以上降尘措施后，颗粒物厂界外无组织排放监控点浓度满足《水泥工业大气污染物排放标准》（GB4915-2013）表3中标准要求。</w:t>
            </w:r>
            <w:r>
              <w:rPr>
                <w:rFonts w:hint="eastAsia" w:ascii="Times New Roman" w:hAnsi="Times New Roman" w:eastAsia="宋体" w:cs="Times New Roman"/>
                <w:b w:val="0"/>
                <w:bCs/>
                <w:color w:val="auto"/>
                <w:spacing w:val="0"/>
                <w:sz w:val="24"/>
                <w:szCs w:val="24"/>
                <w:highlight w:val="none"/>
                <w:lang w:val="en-US" w:eastAsia="zh-CN"/>
              </w:rPr>
              <w:t>混凝土</w:t>
            </w:r>
            <w:r>
              <w:rPr>
                <w:rFonts w:hint="default" w:ascii="Times New Roman" w:hAnsi="Times New Roman" w:eastAsia="宋体" w:cs="Times New Roman"/>
                <w:b w:val="0"/>
                <w:bCs/>
                <w:color w:val="auto"/>
                <w:spacing w:val="0"/>
                <w:sz w:val="24"/>
                <w:szCs w:val="24"/>
                <w:highlight w:val="none"/>
                <w:lang w:val="en-US" w:eastAsia="zh-CN"/>
              </w:rPr>
              <w:t>搅拌机通气口设置1套布袋除尘器，</w:t>
            </w:r>
            <w:r>
              <w:rPr>
                <w:rFonts w:hint="default" w:ascii="Times New Roman" w:hAnsi="Times New Roman" w:eastAsia="宋体" w:cs="Times New Roman"/>
                <w:b w:val="0"/>
                <w:bCs/>
                <w:color w:val="auto"/>
                <w:kern w:val="2"/>
                <w:sz w:val="24"/>
                <w:szCs w:val="24"/>
                <w:highlight w:val="none"/>
                <w:lang w:val="en-US" w:eastAsia="zh-CN" w:bidi="ar-SA"/>
              </w:rPr>
              <w:t>搅拌主机卸料口应设置</w:t>
            </w:r>
            <w:r>
              <w:rPr>
                <w:rFonts w:hint="eastAsia" w:ascii="Times New Roman" w:hAnsi="Times New Roman" w:eastAsia="宋体" w:cs="Times New Roman"/>
                <w:b w:val="0"/>
                <w:bCs/>
                <w:color w:val="auto"/>
                <w:kern w:val="2"/>
                <w:sz w:val="24"/>
                <w:szCs w:val="24"/>
                <w:highlight w:val="none"/>
                <w:lang w:val="en-US" w:eastAsia="zh-CN" w:bidi="ar-SA"/>
              </w:rPr>
              <w:t>防喷溅设施，</w:t>
            </w:r>
            <w:r>
              <w:rPr>
                <w:rFonts w:hint="default" w:ascii="Times New Roman" w:hAnsi="Times New Roman" w:eastAsia="宋体" w:cs="Times New Roman"/>
                <w:b w:val="0"/>
                <w:bCs/>
                <w:color w:val="auto"/>
                <w:spacing w:val="0"/>
                <w:sz w:val="24"/>
                <w:szCs w:val="24"/>
                <w:highlight w:val="none"/>
                <w:lang w:val="en-US" w:eastAsia="zh-CN"/>
              </w:rPr>
              <w:t>废气经除尘器处理后</w:t>
            </w:r>
            <w:r>
              <w:rPr>
                <w:rFonts w:hint="eastAsia" w:cs="Times New Roman"/>
                <w:b w:val="0"/>
                <w:bCs/>
                <w:color w:val="auto"/>
                <w:spacing w:val="0"/>
                <w:sz w:val="24"/>
                <w:szCs w:val="24"/>
                <w:highlight w:val="none"/>
                <w:lang w:val="en-US" w:eastAsia="zh-CN"/>
              </w:rPr>
              <w:t>排放</w:t>
            </w:r>
            <w:r>
              <w:rPr>
                <w:rFonts w:hint="default" w:ascii="Times New Roman" w:hAnsi="Times New Roman" w:eastAsia="宋体" w:cs="Times New Roman"/>
                <w:b w:val="0"/>
                <w:bCs/>
                <w:color w:val="auto"/>
                <w:spacing w:val="0"/>
                <w:sz w:val="24"/>
                <w:szCs w:val="24"/>
                <w:highlight w:val="none"/>
                <w:lang w:val="en-US" w:eastAsia="zh-CN"/>
              </w:rPr>
              <w:t>，颗粒物满足《水泥工业大气污染物排放标准》（GB4915-2013）中</w:t>
            </w:r>
            <w:r>
              <w:rPr>
                <w:rFonts w:hint="eastAsia" w:cs="Times New Roman"/>
                <w:b w:val="0"/>
                <w:bCs/>
                <w:color w:val="auto"/>
                <w:spacing w:val="0"/>
                <w:sz w:val="24"/>
                <w:szCs w:val="24"/>
                <w:highlight w:val="none"/>
                <w:lang w:val="en-US" w:eastAsia="zh-CN"/>
              </w:rPr>
              <w:t>表</w:t>
            </w:r>
            <w:r>
              <w:rPr>
                <w:rFonts w:hint="default" w:ascii="Times New Roman" w:hAnsi="Times New Roman" w:cs="Times New Roman"/>
                <w:b w:val="0"/>
                <w:bCs/>
                <w:color w:val="auto"/>
                <w:spacing w:val="0"/>
                <w:sz w:val="24"/>
                <w:szCs w:val="24"/>
                <w:highlight w:val="none"/>
                <w:lang w:val="en-US" w:eastAsia="zh-CN"/>
              </w:rPr>
              <w:t>3</w:t>
            </w:r>
            <w:r>
              <w:rPr>
                <w:rFonts w:hint="eastAsia" w:cs="Times New Roman"/>
                <w:b w:val="0"/>
                <w:bCs/>
                <w:color w:val="auto"/>
                <w:spacing w:val="0"/>
                <w:sz w:val="24"/>
                <w:szCs w:val="24"/>
                <w:highlight w:val="none"/>
                <w:lang w:val="en-US" w:eastAsia="zh-CN"/>
              </w:rPr>
              <w:t>标准限值</w:t>
            </w:r>
            <w:r>
              <w:rPr>
                <w:rFonts w:hint="default" w:ascii="Times New Roman" w:hAnsi="Times New Roman" w:eastAsia="宋体" w:cs="Times New Roman"/>
                <w:b w:val="0"/>
                <w:bCs/>
                <w:color w:val="auto"/>
                <w:spacing w:val="0"/>
                <w:sz w:val="24"/>
                <w:szCs w:val="24"/>
                <w:highlight w:val="none"/>
                <w:lang w:val="en-US" w:eastAsia="zh-CN"/>
              </w:rPr>
              <w:t>。</w:t>
            </w:r>
            <w:r>
              <w:rPr>
                <w:rFonts w:hint="default" w:ascii="Times New Roman" w:hAnsi="Times New Roman" w:cs="Times New Roman"/>
                <w:color w:val="auto"/>
                <w:sz w:val="24"/>
                <w:szCs w:val="24"/>
                <w:highlight w:val="none"/>
              </w:rPr>
              <w:t>本项目区属于环境空气质量达标区，采取上述措施，项目建设对周围环境影响可接受。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5</w:t>
            </w:r>
            <w:r>
              <w:rPr>
                <w:rFonts w:hint="eastAsia" w:ascii="Times New Roman" w:hAnsi="Times New Roman" w:eastAsia="宋体" w:cs="Times New Roman"/>
                <w:color w:val="auto"/>
                <w:sz w:val="24"/>
                <w:highlight w:val="none"/>
              </w:rPr>
              <w:t>、废气跟踪监测计划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本项目运行期污染源监测计划按照《排污单位自行监测技术指南 总则》（HJ 819-2017）、《排污单位自行监测技术指南 水泥工业》（HJ 848-2017）中的监测要求制定，</w:t>
            </w:r>
            <w:r>
              <w:rPr>
                <w:rFonts w:hint="eastAsia" w:ascii="Times New Roman" w:hAnsi="Times New Roman" w:eastAsia="宋体" w:cs="Times New Roman"/>
                <w:color w:val="auto"/>
                <w:sz w:val="24"/>
                <w:highlight w:val="none"/>
              </w:rPr>
              <w:t>跟踪监测计划见表</w:t>
            </w:r>
            <w:r>
              <w:rPr>
                <w:rFonts w:hint="default" w:ascii="Times New Roman" w:hAnsi="Times New Roman" w:eastAsia="宋体" w:cs="Times New Roman"/>
                <w:color w:val="auto"/>
                <w:sz w:val="24"/>
                <w:highlight w:val="none"/>
              </w:rPr>
              <w:t>4</w:t>
            </w:r>
            <w:r>
              <w:rPr>
                <w:rFonts w:hint="eastAsia" w:ascii="Times New Roman" w:hAnsi="Times New Roman" w:eastAsia="宋体" w:cs="Times New Roman"/>
                <w:color w:val="auto"/>
                <w:sz w:val="24"/>
                <w:highlight w:val="none"/>
              </w:rPr>
              <w:t>-</w:t>
            </w:r>
            <w:r>
              <w:rPr>
                <w:rFonts w:hint="default" w:ascii="Times New Roman" w:hAnsi="Times New Roman" w:cs="Times New Roman"/>
                <w:color w:val="auto"/>
                <w:sz w:val="24"/>
                <w:highlight w:val="none"/>
                <w:lang w:val="en-US" w:eastAsia="zh-CN"/>
              </w:rPr>
              <w:t>4</w:t>
            </w:r>
            <w:r>
              <w:rPr>
                <w:rFonts w:hint="eastAsia" w:ascii="Times New Roman" w:hAnsi="Times New Roman" w:eastAsia="宋体" w:cs="Times New Roman"/>
                <w:color w:val="auto"/>
                <w:sz w:val="24"/>
                <w:highlight w:val="none"/>
              </w:rPr>
              <w:t>。</w:t>
            </w:r>
          </w:p>
          <w:p>
            <w:pPr>
              <w:pStyle w:val="8"/>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w:t>
            </w:r>
            <w:r>
              <w:rPr>
                <w:rFonts w:hint="default" w:ascii="Times New Roman" w:hAnsi="Times New Roman" w:eastAsia="宋体"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 xml:space="preserve">  监测计划</w:t>
            </w:r>
          </w:p>
          <w:tbl>
            <w:tblPr>
              <w:tblStyle w:val="32"/>
              <w:tblW w:w="884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
            <w:tblGrid>
              <w:gridCol w:w="1206"/>
              <w:gridCol w:w="1214"/>
              <w:gridCol w:w="1904"/>
              <w:gridCol w:w="1269"/>
              <w:gridCol w:w="3249"/>
            </w:tblGrid>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Ex>
              <w:trPr>
                <w:trHeight w:val="290" w:hRule="atLeast"/>
                <w:jc w:val="center"/>
              </w:trPr>
              <w:tc>
                <w:tcPr>
                  <w:tcW w:w="120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监测类别</w:t>
                  </w:r>
                </w:p>
              </w:tc>
              <w:tc>
                <w:tcPr>
                  <w:tcW w:w="1214"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监测指标</w:t>
                  </w:r>
                </w:p>
              </w:tc>
              <w:tc>
                <w:tcPr>
                  <w:tcW w:w="1904"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监测点</w:t>
                  </w:r>
                  <w:r>
                    <w:rPr>
                      <w:rFonts w:hint="default" w:ascii="Times New Roman" w:hAnsi="Times New Roman" w:eastAsia="宋体" w:cs="Times New Roman"/>
                      <w:color w:val="auto"/>
                      <w:sz w:val="21"/>
                      <w:szCs w:val="21"/>
                      <w:highlight w:val="none"/>
                      <w:lang w:val="en-US" w:eastAsia="zh-CN"/>
                    </w:rPr>
                    <w:t>位</w:t>
                  </w:r>
                </w:p>
              </w:tc>
              <w:tc>
                <w:tcPr>
                  <w:tcW w:w="126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监测频次</w:t>
                  </w:r>
                </w:p>
              </w:tc>
              <w:tc>
                <w:tcPr>
                  <w:tcW w:w="324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20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无组织</w:t>
                  </w:r>
                </w:p>
              </w:tc>
              <w:tc>
                <w:tcPr>
                  <w:tcW w:w="1214"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颗粒物</w:t>
                  </w:r>
                </w:p>
              </w:tc>
              <w:tc>
                <w:tcPr>
                  <w:tcW w:w="1904"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厂界</w:t>
                  </w:r>
                </w:p>
              </w:tc>
              <w:tc>
                <w:tcPr>
                  <w:tcW w:w="1269"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季度</w:t>
                  </w:r>
                </w:p>
              </w:tc>
              <w:tc>
                <w:tcPr>
                  <w:tcW w:w="3249"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水泥</w:t>
                  </w:r>
                  <w:r>
                    <w:rPr>
                      <w:rFonts w:hint="default" w:ascii="Times New Roman" w:hAnsi="Times New Roman" w:eastAsia="宋体" w:cs="Times New Roman"/>
                      <w:color w:val="auto"/>
                      <w:kern w:val="0"/>
                      <w:sz w:val="21"/>
                      <w:szCs w:val="21"/>
                      <w:highlight w:val="none"/>
                      <w:lang w:val="en-US" w:eastAsia="zh-CN" w:bidi="ar"/>
                    </w:rPr>
                    <w:t>工业大气污染排放准》</w:t>
                  </w:r>
                </w:p>
                <w:p>
                  <w:pPr>
                    <w:shd w:val="clear" w:color="auto" w:fill="auto"/>
                    <w:spacing w:line="240"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（GB4915-2013）表3</w:t>
                  </w:r>
                </w:p>
              </w:tc>
            </w:tr>
          </w:tbl>
          <w:p>
            <w:pPr>
              <w:keepNext w:val="0"/>
              <w:keepLines w:val="0"/>
              <w:pageBreakBefore w:val="0"/>
              <w:widowControl/>
              <w:kinsoku/>
              <w:wordWrap/>
              <w:overflowPunct/>
              <w:topLinePunct w:val="0"/>
              <w:autoSpaceDE/>
              <w:autoSpaceDN/>
              <w:bidi w:val="0"/>
              <w:adjustRightInd/>
              <w:spacing w:line="360" w:lineRule="auto"/>
              <w:ind w:firstLine="482" w:firstLineChars="200"/>
              <w:textAlignment w:val="auto"/>
              <w:rPr>
                <w:b/>
                <w:bCs/>
                <w:color w:val="auto"/>
                <w:kern w:val="0"/>
                <w:sz w:val="24"/>
                <w:highlight w:val="none"/>
              </w:rPr>
            </w:pPr>
            <w:r>
              <w:rPr>
                <w:rFonts w:hint="eastAsia"/>
                <w:b/>
                <w:bCs/>
                <w:color w:val="auto"/>
                <w:kern w:val="0"/>
                <w:sz w:val="24"/>
                <w:highlight w:val="none"/>
              </w:rPr>
              <w:t>二</w:t>
            </w:r>
            <w:r>
              <w:rPr>
                <w:b/>
                <w:bCs/>
                <w:color w:val="auto"/>
                <w:kern w:val="0"/>
                <w:sz w:val="24"/>
                <w:highlight w:val="none"/>
              </w:rPr>
              <w:t>、废水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w:t>
            </w:r>
            <w:r>
              <w:rPr>
                <w:rFonts w:hint="eastAsia"/>
                <w:color w:val="auto"/>
                <w:kern w:val="0"/>
                <w:sz w:val="24"/>
                <w:highlight w:val="none"/>
                <w:lang w:val="en-US" w:eastAsia="zh-CN"/>
              </w:rPr>
              <w:t>、源强核算</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eastAsia="宋体"/>
                <w:color w:val="auto"/>
                <w:kern w:val="0"/>
                <w:sz w:val="24"/>
                <w:highlight w:val="none"/>
                <w:lang w:val="en-US" w:eastAsia="zh-CN"/>
              </w:rPr>
            </w:pPr>
            <w:r>
              <w:rPr>
                <w:rFonts w:hint="eastAsia"/>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1</w:t>
            </w:r>
            <w:r>
              <w:rPr>
                <w:rFonts w:hint="eastAsia"/>
                <w:color w:val="auto"/>
                <w:kern w:val="0"/>
                <w:sz w:val="24"/>
                <w:highlight w:val="none"/>
                <w:lang w:eastAsia="zh-CN"/>
              </w:rPr>
              <w:t>）</w:t>
            </w:r>
            <w:r>
              <w:rPr>
                <w:rFonts w:hint="eastAsia"/>
                <w:color w:val="auto"/>
                <w:kern w:val="0"/>
                <w:sz w:val="24"/>
                <w:highlight w:val="none"/>
                <w:lang w:val="en-US" w:eastAsia="zh-CN"/>
              </w:rPr>
              <w:t>生活污水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kern w:val="0"/>
                <w:sz w:val="24"/>
                <w:highlight w:val="none"/>
              </w:rPr>
            </w:pPr>
            <w:r>
              <w:rPr>
                <w:color w:val="auto"/>
                <w:kern w:val="0"/>
                <w:sz w:val="24"/>
                <w:highlight w:val="none"/>
              </w:rPr>
              <w:t>本项目废水主要是员工生活污水。本项目生活污水按用水量</w:t>
            </w:r>
            <w:r>
              <w:rPr>
                <w:rFonts w:hint="default" w:ascii="Times New Roman" w:hAnsi="Times New Roman" w:cs="Times New Roman"/>
                <w:color w:val="auto"/>
                <w:kern w:val="0"/>
                <w:sz w:val="24"/>
                <w:highlight w:val="none"/>
              </w:rPr>
              <w:t>80</w:t>
            </w:r>
            <w:r>
              <w:rPr>
                <w:color w:val="auto"/>
                <w:kern w:val="0"/>
                <w:sz w:val="24"/>
                <w:highlight w:val="none"/>
              </w:rPr>
              <w:t>%计算，</w:t>
            </w:r>
            <w:r>
              <w:rPr>
                <w:rFonts w:hint="eastAsia"/>
                <w:color w:val="auto"/>
                <w:kern w:val="0"/>
                <w:sz w:val="24"/>
                <w:highlight w:val="none"/>
              </w:rPr>
              <w:t>生活</w:t>
            </w:r>
            <w:r>
              <w:rPr>
                <w:color w:val="auto"/>
                <w:kern w:val="0"/>
                <w:sz w:val="24"/>
                <w:highlight w:val="none"/>
              </w:rPr>
              <w:t>污水</w:t>
            </w:r>
            <w:r>
              <w:rPr>
                <w:rFonts w:hint="eastAsia"/>
                <w:color w:val="auto"/>
                <w:kern w:val="0"/>
                <w:sz w:val="24"/>
                <w:highlight w:val="none"/>
              </w:rPr>
              <w:t>排放</w:t>
            </w:r>
            <w:r>
              <w:rPr>
                <w:color w:val="auto"/>
                <w:kern w:val="0"/>
                <w:sz w:val="24"/>
                <w:highlight w:val="none"/>
              </w:rPr>
              <w:t>量为</w:t>
            </w:r>
            <w:r>
              <w:rPr>
                <w:rFonts w:hint="eastAsia" w:cs="Times New Roman"/>
                <w:color w:val="auto"/>
                <w:kern w:val="0"/>
                <w:sz w:val="24"/>
                <w:highlight w:val="none"/>
                <w:lang w:val="en-US" w:eastAsia="zh-CN"/>
              </w:rPr>
              <w:t>0.64</w:t>
            </w:r>
            <w:r>
              <w:rPr>
                <w:rFonts w:hint="default" w:ascii="Times New Roman" w:hAnsi="Times New Roman" w:cs="Times New Roman"/>
                <w:color w:val="auto"/>
                <w:kern w:val="0"/>
                <w:sz w:val="24"/>
                <w:highlight w:val="none"/>
              </w:rPr>
              <w:t>t</w:t>
            </w:r>
            <w:r>
              <w:rPr>
                <w:color w:val="auto"/>
                <w:kern w:val="0"/>
                <w:sz w:val="24"/>
                <w:highlight w:val="none"/>
              </w:rPr>
              <w:t>/</w:t>
            </w:r>
            <w:r>
              <w:rPr>
                <w:rFonts w:hint="default" w:ascii="Times New Roman" w:hAnsi="Times New Roman" w:cs="Times New Roman"/>
                <w:color w:val="auto"/>
                <w:kern w:val="0"/>
                <w:sz w:val="24"/>
                <w:highlight w:val="none"/>
              </w:rPr>
              <w:t>d</w:t>
            </w:r>
            <w:r>
              <w:rPr>
                <w:color w:val="auto"/>
                <w:kern w:val="0"/>
                <w:sz w:val="24"/>
                <w:highlight w:val="none"/>
              </w:rPr>
              <w:t>，</w:t>
            </w:r>
            <w:r>
              <w:rPr>
                <w:rFonts w:hint="eastAsia" w:cs="Times New Roman"/>
                <w:color w:val="auto"/>
                <w:kern w:val="0"/>
                <w:sz w:val="24"/>
                <w:highlight w:val="none"/>
                <w:lang w:val="en-US" w:eastAsia="zh-CN"/>
              </w:rPr>
              <w:t>64</w:t>
            </w:r>
            <w:r>
              <w:rPr>
                <w:rFonts w:hint="default" w:ascii="Times New Roman" w:hAnsi="Times New Roman" w:cs="Times New Roman"/>
                <w:color w:val="auto"/>
                <w:kern w:val="0"/>
                <w:sz w:val="24"/>
                <w:highlight w:val="none"/>
                <w:lang w:val="en-US" w:eastAsia="zh-CN"/>
              </w:rPr>
              <w:t>t</w:t>
            </w:r>
            <w:r>
              <w:rPr>
                <w:color w:val="auto"/>
                <w:kern w:val="0"/>
                <w:sz w:val="24"/>
                <w:highlight w:val="none"/>
              </w:rPr>
              <w:t>/</w:t>
            </w:r>
            <w:r>
              <w:rPr>
                <w:rFonts w:hint="default" w:ascii="Times New Roman" w:hAnsi="Times New Roman" w:cs="Times New Roman"/>
                <w:color w:val="auto"/>
                <w:kern w:val="0"/>
                <w:sz w:val="24"/>
                <w:highlight w:val="none"/>
              </w:rPr>
              <w:t>a</w:t>
            </w:r>
            <w:r>
              <w:rPr>
                <w:color w:val="auto"/>
                <w:kern w:val="0"/>
                <w:sz w:val="24"/>
                <w:highlight w:val="none"/>
              </w:rPr>
              <w:t>。生活污水排入防渗旱厕，定期清掏，外运堆肥，不外排。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rPr>
              <w:t>2</w:t>
            </w:r>
            <w:r>
              <w:rPr>
                <w:rFonts w:ascii="Times New Roman" w:hAnsi="Times New Roman" w:eastAsia="宋体" w:cs="Times New Roman"/>
                <w:color w:val="auto"/>
                <w:kern w:val="0"/>
                <w:sz w:val="24"/>
                <w:highlight w:val="none"/>
              </w:rPr>
              <w:t>）生产废水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本项目</w:t>
            </w:r>
            <w:r>
              <w:rPr>
                <w:rFonts w:hint="eastAsia" w:ascii="Times New Roman" w:hAnsi="Times New Roman" w:eastAsia="宋体" w:cs="Times New Roman"/>
                <w:color w:val="auto"/>
                <w:kern w:val="0"/>
                <w:sz w:val="24"/>
                <w:highlight w:val="none"/>
                <w:lang w:val="en-US" w:eastAsia="zh-CN"/>
              </w:rPr>
              <w:t>洒水</w:t>
            </w:r>
            <w:r>
              <w:rPr>
                <w:rFonts w:hint="default" w:ascii="Times New Roman" w:hAnsi="Times New Roman" w:eastAsia="宋体" w:cs="Times New Roman"/>
                <w:color w:val="auto"/>
                <w:kern w:val="0"/>
                <w:sz w:val="24"/>
                <w:highlight w:val="none"/>
                <w:lang w:val="en-US" w:eastAsia="zh-CN"/>
              </w:rPr>
              <w:t>用水除去自然蒸发水量其余全部进入产品不外排。原料搅拌用水全部进入产品。搅拌机冲洗废水</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运输车辆</w:t>
            </w:r>
            <w:r>
              <w:rPr>
                <w:rFonts w:hint="eastAsia" w:ascii="Times New Roman" w:hAnsi="Times New Roman" w:eastAsia="宋体" w:cs="Times New Roman"/>
                <w:color w:val="auto"/>
                <w:kern w:val="0"/>
                <w:sz w:val="24"/>
                <w:highlight w:val="none"/>
                <w:lang w:val="en-US" w:eastAsia="zh-CN"/>
              </w:rPr>
              <w:t>罐车内部</w:t>
            </w:r>
            <w:r>
              <w:rPr>
                <w:rFonts w:hint="default" w:ascii="Times New Roman" w:hAnsi="Times New Roman" w:eastAsia="宋体" w:cs="Times New Roman"/>
                <w:color w:val="auto"/>
                <w:kern w:val="0"/>
                <w:sz w:val="24"/>
                <w:highlight w:val="none"/>
                <w:lang w:val="en-US" w:eastAsia="zh-CN"/>
              </w:rPr>
              <w:t>冲洗废水</w:t>
            </w:r>
            <w:r>
              <w:rPr>
                <w:rFonts w:hint="eastAsia" w:cs="Times New Roman"/>
                <w:color w:val="auto"/>
                <w:kern w:val="0"/>
                <w:sz w:val="24"/>
                <w:highlight w:val="none"/>
                <w:lang w:val="en-US" w:eastAsia="zh-CN"/>
              </w:rPr>
              <w:t>及作业带冲洗废水</w:t>
            </w:r>
            <w:r>
              <w:rPr>
                <w:rFonts w:hint="default" w:ascii="Times New Roman" w:hAnsi="Times New Roman" w:eastAsia="宋体" w:cs="Times New Roman"/>
                <w:color w:val="auto"/>
                <w:kern w:val="0"/>
                <w:sz w:val="24"/>
                <w:highlight w:val="none"/>
                <w:lang w:val="en-US" w:eastAsia="zh-CN"/>
              </w:rPr>
              <w:t>经沉淀池沉淀处理后回用于生产，故本项目无生产废水外排</w:t>
            </w:r>
            <w:r>
              <w:rPr>
                <w:rFonts w:hint="eastAsia" w:ascii="Times New Roman" w:hAnsi="Times New Roman" w:eastAsia="宋体" w:cs="Times New Roman"/>
                <w:color w:val="auto"/>
                <w:kern w:val="0"/>
                <w:sz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沉淀池位于搅拌站的</w:t>
            </w:r>
            <w:r>
              <w:rPr>
                <w:rFonts w:hint="eastAsia" w:cs="Times New Roman"/>
                <w:color w:val="auto"/>
                <w:kern w:val="0"/>
                <w:sz w:val="24"/>
                <w:highlight w:val="none"/>
                <w:lang w:val="en-US" w:eastAsia="zh-CN"/>
              </w:rPr>
              <w:t>南</w:t>
            </w:r>
            <w:r>
              <w:rPr>
                <w:rFonts w:hint="eastAsia" w:ascii="Times New Roman" w:hAnsi="Times New Roman" w:eastAsia="宋体" w:cs="Times New Roman"/>
                <w:color w:val="auto"/>
                <w:kern w:val="0"/>
                <w:sz w:val="24"/>
                <w:highlight w:val="none"/>
                <w:lang w:val="en-US" w:eastAsia="zh-CN"/>
              </w:rPr>
              <w:t>侧，沉淀池有效容积为</w:t>
            </w:r>
            <w:r>
              <w:rPr>
                <w:rFonts w:hint="default" w:ascii="Times New Roman" w:hAnsi="Times New Roman" w:cs="Times New Roman"/>
                <w:color w:val="auto"/>
                <w:kern w:val="0"/>
                <w:sz w:val="24"/>
                <w:highlight w:val="none"/>
                <w:lang w:val="en-US" w:eastAsia="zh-CN"/>
              </w:rPr>
              <w:t>100</w:t>
            </w:r>
            <w:r>
              <w:rPr>
                <w:rFonts w:hint="default" w:ascii="Times New Roman" w:hAnsi="Times New Roman" w:eastAsia="宋体" w:cs="Times New Roman"/>
                <w:color w:val="auto"/>
                <w:kern w:val="0"/>
                <w:sz w:val="24"/>
                <w:highlight w:val="none"/>
                <w:lang w:val="en-US" w:eastAsia="zh-CN"/>
              </w:rPr>
              <w:t>m</w:t>
            </w:r>
            <w:r>
              <w:rPr>
                <w:rFonts w:hint="default"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，采用防渗混凝土建设。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本项目</w:t>
            </w:r>
            <w:r>
              <w:rPr>
                <w:rFonts w:hint="eastAsia" w:ascii="Times New Roman" w:hAnsi="Times New Roman" w:eastAsia="宋体" w:cs="Times New Roman"/>
                <w:color w:val="auto"/>
                <w:kern w:val="0"/>
                <w:sz w:val="24"/>
                <w:highlight w:val="none"/>
                <w:lang w:val="en-US" w:eastAsia="zh-CN"/>
              </w:rPr>
              <w:t>清洗用水的设计出水水质</w:t>
            </w:r>
            <w:r>
              <w:rPr>
                <w:rFonts w:hint="default" w:ascii="Times New Roman" w:hAnsi="Times New Roman" w:eastAsia="宋体" w:cs="Times New Roman"/>
                <w:color w:val="auto"/>
                <w:kern w:val="0"/>
                <w:sz w:val="24"/>
                <w:highlight w:val="none"/>
                <w:lang w:val="en-US" w:eastAsia="zh-CN"/>
              </w:rPr>
              <w:t>pH</w:t>
            </w:r>
            <w:r>
              <w:rPr>
                <w:rFonts w:hint="eastAsia" w:ascii="Times New Roman" w:hAnsi="Times New Roman" w:eastAsia="宋体" w:cs="Times New Roman"/>
                <w:color w:val="auto"/>
                <w:kern w:val="0"/>
                <w:sz w:val="24"/>
                <w:highlight w:val="none"/>
                <w:lang w:val="en-US" w:eastAsia="zh-CN"/>
              </w:rPr>
              <w:t>为</w:t>
            </w:r>
            <w:r>
              <w:rPr>
                <w:rFonts w:hint="default" w:ascii="Times New Roman" w:hAnsi="Times New Roman" w:eastAsia="宋体" w:cs="Times New Roman"/>
                <w:color w:val="auto"/>
                <w:kern w:val="0"/>
                <w:sz w:val="24"/>
                <w:highlight w:val="none"/>
                <w:lang w:val="en-US" w:eastAsia="zh-CN"/>
              </w:rPr>
              <w:t>6.5-8.5</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SS≤250mg/L</w:t>
            </w:r>
            <w:r>
              <w:rPr>
                <w:rFonts w:hint="eastAsia" w:ascii="Times New Roman" w:hAnsi="Times New Roman" w:eastAsia="宋体" w:cs="Times New Roman"/>
                <w:color w:val="auto"/>
                <w:kern w:val="0"/>
                <w:sz w:val="24"/>
                <w:highlight w:val="none"/>
                <w:lang w:val="en-US" w:eastAsia="zh-CN"/>
              </w:rPr>
              <w:t>，清洗废水具体参数见下表。</w:t>
            </w:r>
          </w:p>
          <w:p>
            <w:pPr>
              <w:keepNext w:val="0"/>
              <w:keepLines w:val="0"/>
              <w:widowControl/>
              <w:suppressLineNumbers w:val="0"/>
              <w:jc w:val="center"/>
              <w:rPr>
                <w:rFonts w:hint="default" w:ascii="Times New Roman" w:hAnsi="Times New Roman" w:eastAsia="宋体" w:cs="Times New Roman"/>
                <w:b/>
                <w:bCs/>
                <w:color w:val="auto"/>
                <w:kern w:val="0"/>
                <w:sz w:val="24"/>
                <w:szCs w:val="20"/>
                <w:highlight w:val="none"/>
                <w:lang w:val="en-US" w:eastAsia="zh-CN" w:bidi="ar-SA"/>
              </w:rPr>
            </w:pPr>
            <w:r>
              <w:rPr>
                <w:rFonts w:hint="eastAsia" w:ascii="Times New Roman" w:hAnsi="Times New Roman" w:eastAsia="宋体" w:cs="Times New Roman"/>
                <w:b/>
                <w:bCs/>
                <w:color w:val="auto"/>
                <w:kern w:val="0"/>
                <w:sz w:val="24"/>
                <w:szCs w:val="20"/>
                <w:highlight w:val="none"/>
                <w:lang w:val="en-US" w:eastAsia="zh-CN" w:bidi="ar-SA"/>
              </w:rPr>
              <w:t>表</w:t>
            </w:r>
            <w:r>
              <w:rPr>
                <w:rFonts w:hint="default" w:ascii="Times New Roman" w:hAnsi="Times New Roman" w:eastAsia="宋体" w:cs="Times New Roman"/>
                <w:b/>
                <w:bCs/>
                <w:color w:val="auto"/>
                <w:kern w:val="0"/>
                <w:sz w:val="24"/>
                <w:szCs w:val="20"/>
                <w:highlight w:val="none"/>
                <w:lang w:val="en-US" w:eastAsia="zh-CN" w:bidi="ar-SA"/>
              </w:rPr>
              <w:t>4</w:t>
            </w:r>
            <w:r>
              <w:rPr>
                <w:rFonts w:hint="eastAsia" w:ascii="Times New Roman" w:hAnsi="Times New Roman" w:eastAsia="宋体" w:cs="Times New Roman"/>
                <w:b/>
                <w:bCs/>
                <w:color w:val="auto"/>
                <w:kern w:val="0"/>
                <w:sz w:val="24"/>
                <w:szCs w:val="20"/>
                <w:highlight w:val="none"/>
                <w:lang w:val="en-US" w:eastAsia="zh-CN" w:bidi="ar-SA"/>
              </w:rPr>
              <w:t>-</w:t>
            </w:r>
            <w:r>
              <w:rPr>
                <w:rFonts w:hint="default" w:ascii="Times New Roman" w:hAnsi="Times New Roman" w:cs="Times New Roman"/>
                <w:b/>
                <w:bCs/>
                <w:color w:val="auto"/>
                <w:kern w:val="0"/>
                <w:sz w:val="24"/>
                <w:szCs w:val="20"/>
                <w:highlight w:val="none"/>
                <w:lang w:val="en-US" w:eastAsia="zh-CN" w:bidi="ar-SA"/>
              </w:rPr>
              <w:t>5</w:t>
            </w:r>
            <w:r>
              <w:rPr>
                <w:rFonts w:hint="eastAsia" w:ascii="Times New Roman" w:hAnsi="Times New Roman" w:eastAsia="宋体" w:cs="Times New Roman"/>
                <w:b/>
                <w:bCs/>
                <w:color w:val="auto"/>
                <w:kern w:val="0"/>
                <w:sz w:val="24"/>
                <w:szCs w:val="20"/>
                <w:highlight w:val="none"/>
                <w:lang w:val="en-US" w:eastAsia="zh-CN" w:bidi="ar-SA"/>
              </w:rPr>
              <w:t xml:space="preserve"> 主要去除率一览表（单位</w:t>
            </w:r>
            <w:r>
              <w:rPr>
                <w:rFonts w:hint="default" w:ascii="Times New Roman" w:hAnsi="Times New Roman" w:eastAsia="宋体" w:cs="Times New Roman"/>
                <w:b/>
                <w:bCs/>
                <w:color w:val="auto"/>
                <w:kern w:val="0"/>
                <w:sz w:val="24"/>
                <w:szCs w:val="20"/>
                <w:highlight w:val="none"/>
                <w:lang w:val="en-US" w:eastAsia="zh-CN" w:bidi="ar-SA"/>
              </w:rPr>
              <w:t>mg/L</w:t>
            </w:r>
            <w:r>
              <w:rPr>
                <w:rFonts w:hint="eastAsia" w:ascii="Times New Roman" w:hAnsi="Times New Roman" w:eastAsia="宋体" w:cs="Times New Roman"/>
                <w:b/>
                <w:bCs/>
                <w:color w:val="auto"/>
                <w:kern w:val="0"/>
                <w:sz w:val="24"/>
                <w:szCs w:val="20"/>
                <w:highlight w:val="none"/>
                <w:lang w:val="en-US" w:eastAsia="zh-CN" w:bidi="ar-SA"/>
              </w:rPr>
              <w:t>）</w:t>
            </w:r>
          </w:p>
          <w:tbl>
            <w:tblPr>
              <w:tblStyle w:val="33"/>
              <w:tblW w:w="884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485"/>
              <w:gridCol w:w="1913"/>
              <w:gridCol w:w="1909"/>
              <w:gridCol w:w="17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176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装置</w:t>
                  </w:r>
                </w:p>
              </w:tc>
              <w:tc>
                <w:tcPr>
                  <w:tcW w:w="14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w:t>
                  </w:r>
                </w:p>
              </w:tc>
              <w:tc>
                <w:tcPr>
                  <w:tcW w:w="191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搅拌机清洗用水</w:t>
                  </w:r>
                </w:p>
              </w:tc>
              <w:tc>
                <w:tcPr>
                  <w:tcW w:w="1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运输车辆清洗用水</w:t>
                  </w:r>
                </w:p>
              </w:tc>
              <w:tc>
                <w:tcPr>
                  <w:tcW w:w="177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作业带清洗用水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6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p>
              </w:tc>
              <w:tc>
                <w:tcPr>
                  <w:tcW w:w="14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p>
              </w:tc>
              <w:tc>
                <w:tcPr>
                  <w:tcW w:w="191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SS</w:t>
                  </w:r>
                </w:p>
              </w:tc>
              <w:tc>
                <w:tcPr>
                  <w:tcW w:w="1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SS</w:t>
                  </w:r>
                </w:p>
              </w:tc>
              <w:tc>
                <w:tcPr>
                  <w:tcW w:w="177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6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沉淀池</w:t>
                  </w:r>
                </w:p>
              </w:tc>
              <w:tc>
                <w:tcPr>
                  <w:tcW w:w="14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进水</w:t>
                  </w:r>
                </w:p>
              </w:tc>
              <w:tc>
                <w:tcPr>
                  <w:tcW w:w="191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200</w:t>
                  </w:r>
                </w:p>
              </w:tc>
              <w:tc>
                <w:tcPr>
                  <w:tcW w:w="1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200</w:t>
                  </w:r>
                </w:p>
              </w:tc>
              <w:tc>
                <w:tcPr>
                  <w:tcW w:w="177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6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p>
              </w:tc>
              <w:tc>
                <w:tcPr>
                  <w:tcW w:w="14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出水</w:t>
                  </w:r>
                </w:p>
              </w:tc>
              <w:tc>
                <w:tcPr>
                  <w:tcW w:w="191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100</w:t>
                  </w:r>
                </w:p>
              </w:tc>
              <w:tc>
                <w:tcPr>
                  <w:tcW w:w="1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100</w:t>
                  </w:r>
                </w:p>
              </w:tc>
              <w:tc>
                <w:tcPr>
                  <w:tcW w:w="177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6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p>
              </w:tc>
              <w:tc>
                <w:tcPr>
                  <w:tcW w:w="14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去除率（%）</w:t>
                  </w:r>
                </w:p>
              </w:tc>
              <w:tc>
                <w:tcPr>
                  <w:tcW w:w="191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50</w:t>
                  </w:r>
                </w:p>
              </w:tc>
              <w:tc>
                <w:tcPr>
                  <w:tcW w:w="19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50</w:t>
                  </w:r>
                </w:p>
              </w:tc>
              <w:tc>
                <w:tcPr>
                  <w:tcW w:w="177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50</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因《城市污水再生利用工业用水水质》</w:t>
            </w:r>
            <w:r>
              <w:rPr>
                <w:rFonts w:hint="default" w:ascii="Times New Roman" w:hAnsi="Times New Roman" w:eastAsia="宋体" w:cs="Times New Roman"/>
                <w:color w:val="auto"/>
                <w:kern w:val="0"/>
                <w:sz w:val="24"/>
                <w:highlight w:val="none"/>
                <w:lang w:val="en-US" w:eastAsia="zh-CN"/>
              </w:rPr>
              <w:t>(GB/T 19923-2024)</w:t>
            </w:r>
            <w:r>
              <w:rPr>
                <w:rFonts w:hint="eastAsia" w:ascii="Times New Roman" w:hAnsi="Times New Roman" w:eastAsia="宋体" w:cs="Times New Roman"/>
                <w:color w:val="auto"/>
                <w:kern w:val="0"/>
                <w:sz w:val="24"/>
                <w:highlight w:val="none"/>
                <w:lang w:val="en-US" w:eastAsia="zh-CN"/>
              </w:rPr>
              <w:t>表</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中限值标准要求中对</w:t>
            </w:r>
            <w:r>
              <w:rPr>
                <w:rFonts w:hint="default" w:ascii="Times New Roman" w:hAnsi="Times New Roman" w:eastAsia="宋体" w:cs="Times New Roman"/>
                <w:color w:val="auto"/>
                <w:kern w:val="0"/>
                <w:sz w:val="24"/>
                <w:highlight w:val="none"/>
                <w:lang w:val="en-US" w:eastAsia="zh-CN"/>
              </w:rPr>
              <w:t>SS</w:t>
            </w:r>
            <w:r>
              <w:rPr>
                <w:rFonts w:hint="eastAsia" w:ascii="Times New Roman" w:hAnsi="Times New Roman" w:eastAsia="宋体" w:cs="Times New Roman"/>
                <w:color w:val="auto"/>
                <w:kern w:val="0"/>
                <w:sz w:val="24"/>
                <w:highlight w:val="none"/>
                <w:lang w:val="en-US" w:eastAsia="zh-CN"/>
              </w:rPr>
              <w:t>没有限值要求，所以符合《城市污水再生利用工业用水水质》 （</w:t>
            </w:r>
            <w:r>
              <w:rPr>
                <w:rFonts w:hint="default" w:ascii="Times New Roman" w:hAnsi="Times New Roman" w:eastAsia="宋体" w:cs="Times New Roman"/>
                <w:color w:val="auto"/>
                <w:kern w:val="0"/>
                <w:sz w:val="24"/>
                <w:highlight w:val="none"/>
                <w:lang w:val="en-US" w:eastAsia="zh-CN"/>
              </w:rPr>
              <w:t>GB/T 19923-2024)</w:t>
            </w:r>
            <w:r>
              <w:rPr>
                <w:rFonts w:hint="eastAsia" w:ascii="Times New Roman" w:hAnsi="Times New Roman" w:eastAsia="宋体" w:cs="Times New Roman"/>
                <w:color w:val="auto"/>
                <w:kern w:val="0"/>
                <w:sz w:val="24"/>
                <w:highlight w:val="none"/>
                <w:lang w:val="en-US" w:eastAsia="zh-CN"/>
              </w:rPr>
              <w:t>表</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中限值标准要求</w:t>
            </w:r>
            <w:r>
              <w:rPr>
                <w:rFonts w:hint="eastAsia" w:cs="Times New Roman"/>
                <w:color w:val="auto"/>
                <w:kern w:val="0"/>
                <w:sz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根据《排污许可证申请与核发技术规范水泥行业》（</w:t>
            </w:r>
            <w:r>
              <w:rPr>
                <w:rFonts w:hint="default" w:ascii="Times New Roman" w:hAnsi="Times New Roman" w:eastAsia="宋体" w:cs="Times New Roman"/>
                <w:color w:val="auto"/>
                <w:kern w:val="0"/>
                <w:sz w:val="24"/>
                <w:highlight w:val="none"/>
                <w:lang w:val="en-US" w:eastAsia="zh-CN"/>
              </w:rPr>
              <w:t>HJ847-2017</w:t>
            </w:r>
            <w:r>
              <w:rPr>
                <w:rFonts w:hint="eastAsia" w:ascii="Times New Roman" w:hAnsi="Times New Roman" w:eastAsia="宋体" w:cs="Times New Roman"/>
                <w:color w:val="auto"/>
                <w:kern w:val="0"/>
                <w:sz w:val="24"/>
                <w:highlight w:val="none"/>
                <w:lang w:val="en-US" w:eastAsia="zh-CN"/>
              </w:rPr>
              <w:t>）中附录</w:t>
            </w:r>
            <w:r>
              <w:rPr>
                <w:rFonts w:hint="default" w:ascii="Times New Roman" w:hAnsi="Times New Roman" w:eastAsia="宋体" w:cs="Times New Roman"/>
                <w:color w:val="auto"/>
                <w:kern w:val="0"/>
                <w:sz w:val="24"/>
                <w:highlight w:val="none"/>
                <w:lang w:val="en-US" w:eastAsia="zh-CN"/>
              </w:rPr>
              <w:t xml:space="preserve">C </w:t>
            </w:r>
            <w:r>
              <w:rPr>
                <w:rFonts w:hint="eastAsia" w:ascii="Times New Roman" w:hAnsi="Times New Roman" w:eastAsia="宋体" w:cs="Times New Roman"/>
                <w:color w:val="auto"/>
                <w:kern w:val="0"/>
                <w:sz w:val="24"/>
                <w:highlight w:val="none"/>
                <w:lang w:val="en-US" w:eastAsia="zh-CN"/>
              </w:rPr>
              <w:t>水泥工业废水污染防治可行技术可知，生产废水经沉淀池处理后回用是可行技术，无需开展可行性分析。 综上所述，本项目的清洗废水经过沉淀处理后，出水水质能够达到《城市污水再生利用工业用水水质》</w:t>
            </w:r>
            <w:r>
              <w:rPr>
                <w:rFonts w:hint="default" w:ascii="Times New Roman" w:hAnsi="Times New Roman" w:eastAsia="宋体" w:cs="Times New Roman"/>
                <w:color w:val="auto"/>
                <w:kern w:val="0"/>
                <w:sz w:val="24"/>
                <w:highlight w:val="none"/>
                <w:lang w:val="en-US" w:eastAsia="zh-CN"/>
              </w:rPr>
              <w:t>(GB/T 19923-2024)</w:t>
            </w:r>
            <w:r>
              <w:rPr>
                <w:rFonts w:hint="eastAsia" w:ascii="Times New Roman" w:hAnsi="Times New Roman" w:eastAsia="宋体" w:cs="Times New Roman"/>
                <w:color w:val="auto"/>
                <w:kern w:val="0"/>
                <w:sz w:val="24"/>
                <w:highlight w:val="none"/>
                <w:lang w:val="en-US" w:eastAsia="zh-CN"/>
              </w:rPr>
              <w:t>表</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中的限值要求，经沉淀后的生产废水可以返回生产线继续使用，含有极少量的矿物油，不会影响废水回用。回用于生产中是可行的。</w:t>
            </w:r>
          </w:p>
          <w:p>
            <w:pPr>
              <w:pStyle w:val="27"/>
              <w:spacing w:line="360" w:lineRule="auto"/>
              <w:ind w:left="0" w:leftChars="0"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w:t>
            </w:r>
            <w:r>
              <w:rPr>
                <w:rFonts w:hint="eastAsia" w:ascii="Times New Roman" w:hAnsi="Times New Roman" w:eastAsia="宋体" w:cs="Times New Roman"/>
                <w:color w:val="auto"/>
                <w:kern w:val="0"/>
                <w:sz w:val="24"/>
                <w:szCs w:val="24"/>
                <w:highlight w:val="none"/>
                <w:lang w:val="en-US" w:eastAsia="zh-CN" w:bidi="ar-SA"/>
              </w:rPr>
              <w:t>初期雨水</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SA"/>
              </w:rPr>
              <w:t>本项目初期雨水量为</w:t>
            </w:r>
            <w:r>
              <w:rPr>
                <w:rFonts w:hint="eastAsia" w:cs="Times New Roman"/>
                <w:color w:val="auto"/>
                <w:kern w:val="0"/>
                <w:sz w:val="24"/>
                <w:szCs w:val="24"/>
                <w:highlight w:val="none"/>
                <w:lang w:val="en-US" w:eastAsia="zh-CN" w:bidi="ar-SA"/>
              </w:rPr>
              <w:t>41.9</w:t>
            </w:r>
            <w:r>
              <w:rPr>
                <w:rFonts w:hint="default" w:ascii="Times New Roman" w:hAnsi="Times New Roman" w:eastAsia="宋体" w:cs="Times New Roman"/>
                <w:color w:val="auto"/>
                <w:kern w:val="0"/>
                <w:sz w:val="24"/>
                <w:szCs w:val="24"/>
                <w:highlight w:val="none"/>
                <w:lang w:val="en-US" w:eastAsia="zh-CN" w:bidi="ar-SA"/>
              </w:rPr>
              <w:t>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/次。建设单位</w:t>
            </w:r>
            <w:r>
              <w:rPr>
                <w:rFonts w:hint="eastAsia" w:ascii="Times New Roman" w:hAnsi="Times New Roman" w:eastAsia="宋体" w:cs="Times New Roman"/>
                <w:color w:val="auto"/>
                <w:kern w:val="0"/>
                <w:sz w:val="24"/>
                <w:szCs w:val="24"/>
                <w:highlight w:val="none"/>
                <w:lang w:val="en-US" w:eastAsia="zh-CN" w:bidi="ar-SA"/>
              </w:rPr>
              <w:t>计划</w:t>
            </w:r>
            <w:r>
              <w:rPr>
                <w:rFonts w:hint="default" w:ascii="Times New Roman" w:hAnsi="Times New Roman" w:eastAsia="宋体" w:cs="Times New Roman"/>
                <w:color w:val="auto"/>
                <w:kern w:val="0"/>
                <w:sz w:val="24"/>
                <w:szCs w:val="24"/>
                <w:highlight w:val="none"/>
                <w:lang w:val="en-US" w:eastAsia="zh-CN" w:bidi="ar-SA"/>
              </w:rPr>
              <w:t>在厂区</w:t>
            </w:r>
            <w:r>
              <w:rPr>
                <w:rFonts w:hint="eastAsia" w:ascii="Times New Roman" w:hAnsi="Times New Roman" w:eastAsia="宋体" w:cs="Times New Roman"/>
                <w:color w:val="auto"/>
                <w:kern w:val="0"/>
                <w:sz w:val="24"/>
                <w:szCs w:val="24"/>
                <w:highlight w:val="none"/>
                <w:lang w:val="en-US" w:eastAsia="zh-CN" w:bidi="ar-SA"/>
              </w:rPr>
              <w:t>建设</w:t>
            </w:r>
            <w:r>
              <w:rPr>
                <w:rFonts w:hint="default" w:ascii="Times New Roman" w:hAnsi="Times New Roman" w:eastAsia="宋体" w:cs="Times New Roman"/>
                <w:color w:val="auto"/>
                <w:kern w:val="0"/>
                <w:sz w:val="24"/>
                <w:szCs w:val="24"/>
                <w:highlight w:val="none"/>
                <w:lang w:val="en-US" w:eastAsia="zh-CN" w:bidi="ar-SA"/>
              </w:rPr>
              <w:t>1座</w:t>
            </w:r>
            <w:r>
              <w:rPr>
                <w:rFonts w:hint="default" w:ascii="Times New Roman" w:hAnsi="Times New Roman" w:cs="Times New Roman"/>
                <w:color w:val="auto"/>
                <w:kern w:val="0"/>
                <w:sz w:val="24"/>
                <w:szCs w:val="24"/>
                <w:highlight w:val="none"/>
                <w:lang w:val="en-US" w:eastAsia="zh-CN" w:bidi="ar-SA"/>
              </w:rPr>
              <w:t>100</w:t>
            </w:r>
            <w:r>
              <w:rPr>
                <w:rFonts w:hint="default" w:ascii="Times New Roman" w:hAnsi="Times New Roman" w:eastAsia="宋体" w:cs="Times New Roman"/>
                <w:color w:val="auto"/>
                <w:kern w:val="0"/>
                <w:sz w:val="24"/>
                <w:szCs w:val="24"/>
                <w:highlight w:val="none"/>
                <w:lang w:val="en-US" w:eastAsia="zh-CN" w:bidi="ar-SA"/>
              </w:rPr>
              <w:t>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的沉淀池，兼作收集雨季初期雨水。初期雨水经厂区四周排水沟汇入沉淀池沉淀，用于</w:t>
            </w:r>
            <w:r>
              <w:rPr>
                <w:rFonts w:hint="eastAsia" w:ascii="Times New Roman" w:hAnsi="Times New Roman" w:eastAsia="宋体" w:cs="Times New Roman"/>
                <w:color w:val="auto"/>
                <w:kern w:val="0"/>
                <w:sz w:val="24"/>
                <w:szCs w:val="24"/>
                <w:highlight w:val="none"/>
                <w:lang w:val="en-US" w:eastAsia="zh-CN" w:bidi="ar-SA"/>
              </w:rPr>
              <w:t>洒水降尘</w:t>
            </w:r>
            <w:r>
              <w:rPr>
                <w:rFonts w:hint="default" w:ascii="Times New Roman" w:hAnsi="Times New Roman" w:eastAsia="宋体" w:cs="Times New Roman"/>
                <w:color w:val="auto"/>
                <w:kern w:val="0"/>
                <w:sz w:val="24"/>
                <w:szCs w:val="24"/>
                <w:highlight w:val="none"/>
                <w:lang w:val="en-US" w:eastAsia="zh-CN" w:bidi="ar-SA"/>
              </w:rPr>
              <w:t>用水。</w:t>
            </w:r>
          </w:p>
          <w:p>
            <w:pPr>
              <w:pStyle w:val="105"/>
              <w:keepNext w:val="0"/>
              <w:keepLines w:val="0"/>
              <w:pageBreakBefore w:val="0"/>
              <w:widowControl/>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表4-</w:t>
            </w:r>
            <w:r>
              <w:rPr>
                <w:rFonts w:hint="default" w:ascii="Times New Roman" w:hAnsi="Times New Roman" w:cs="Times New Roman"/>
                <w:b/>
                <w:bCs/>
                <w:color w:val="auto"/>
                <w:kern w:val="0"/>
                <w:sz w:val="24"/>
                <w:highlight w:val="none"/>
                <w:lang w:val="en-US" w:eastAsia="zh-CN"/>
              </w:rPr>
              <w:t>6</w:t>
            </w:r>
            <w:r>
              <w:rPr>
                <w:rFonts w:hint="default" w:ascii="Times New Roman" w:hAnsi="Times New Roman" w:eastAsia="宋体" w:cs="Times New Roman"/>
                <w:b/>
                <w:bCs/>
                <w:color w:val="auto"/>
                <w:kern w:val="0"/>
                <w:sz w:val="24"/>
                <w:highlight w:val="none"/>
              </w:rPr>
              <w:t>废水污染源源强核算结果及相关参数一览表</w:t>
            </w:r>
          </w:p>
          <w:tbl>
            <w:tblPr>
              <w:tblStyle w:val="32"/>
              <w:tblW w:w="8842"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717"/>
              <w:gridCol w:w="829"/>
              <w:gridCol w:w="423"/>
              <w:gridCol w:w="738"/>
              <w:gridCol w:w="817"/>
              <w:gridCol w:w="962"/>
              <w:gridCol w:w="1032"/>
              <w:gridCol w:w="347"/>
              <w:gridCol w:w="442"/>
              <w:gridCol w:w="673"/>
              <w:gridCol w:w="790"/>
              <w:gridCol w:w="665"/>
              <w:gridCol w:w="4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Ex>
              <w:trPr>
                <w:trHeight w:val="412" w:hRule="atLeast"/>
                <w:jc w:val="center"/>
              </w:trPr>
              <w:tc>
                <w:tcPr>
                  <w:tcW w:w="717" w:type="dxa"/>
                  <w:vMerge w:val="restar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排放源</w:t>
                  </w:r>
                </w:p>
              </w:tc>
              <w:tc>
                <w:tcPr>
                  <w:tcW w:w="829" w:type="dxa"/>
                  <w:vMerge w:val="restart"/>
                  <w:tcBorders>
                    <w:tl2br w:val="nil"/>
                    <w:tr2bl w:val="nil"/>
                  </w:tcBorders>
                  <w:noWrap w:val="0"/>
                  <w:textDirection w:val="tbLrV"/>
                  <w:vAlign w:val="center"/>
                </w:tcPr>
                <w:p>
                  <w:pPr>
                    <w:ind w:left="113" w:right="11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2940" w:type="dxa"/>
                  <w:gridSpan w:val="4"/>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污染物产生</w:t>
                  </w:r>
                </w:p>
              </w:tc>
              <w:tc>
                <w:tcPr>
                  <w:tcW w:w="1379" w:type="dxa"/>
                  <w:gridSpan w:val="2"/>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治理措施</w:t>
                  </w:r>
                </w:p>
              </w:tc>
              <w:tc>
                <w:tcPr>
                  <w:tcW w:w="2570" w:type="dxa"/>
                  <w:gridSpan w:val="4"/>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w:t>
                  </w:r>
                </w:p>
              </w:tc>
              <w:tc>
                <w:tcPr>
                  <w:tcW w:w="407" w:type="dxa"/>
                  <w:vMerge w:val="restar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放</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时</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w:t>
                  </w:r>
                </w:p>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Ex>
              <w:trPr>
                <w:trHeight w:val="90" w:hRule="atLeast"/>
                <w:jc w:val="center"/>
              </w:trPr>
              <w:tc>
                <w:tcPr>
                  <w:tcW w:w="717" w:type="dxa"/>
                  <w:vMerge w:val="continue"/>
                  <w:tcBorders>
                    <w:tl2br w:val="nil"/>
                    <w:tr2bl w:val="nil"/>
                  </w:tcBorders>
                  <w:noWrap w:val="0"/>
                  <w:vAlign w:val="center"/>
                </w:tcPr>
                <w:p>
                  <w:pPr>
                    <w:jc w:val="center"/>
                    <w:rPr>
                      <w:rFonts w:hint="default" w:ascii="Times New Roman" w:hAnsi="Times New Roman" w:cs="Times New Roman"/>
                      <w:color w:val="auto"/>
                      <w:sz w:val="21"/>
                      <w:szCs w:val="21"/>
                      <w:highlight w:val="none"/>
                    </w:rPr>
                  </w:pPr>
                </w:p>
              </w:tc>
              <w:tc>
                <w:tcPr>
                  <w:tcW w:w="829" w:type="dxa"/>
                  <w:vMerge w:val="continue"/>
                  <w:tcBorders>
                    <w:tl2br w:val="nil"/>
                    <w:tr2bl w:val="nil"/>
                  </w:tcBorders>
                  <w:noWrap w:val="0"/>
                  <w:vAlign w:val="center"/>
                </w:tcPr>
                <w:p>
                  <w:pPr>
                    <w:jc w:val="center"/>
                    <w:rPr>
                      <w:rFonts w:hint="default" w:ascii="Times New Roman" w:hAnsi="Times New Roman" w:cs="Times New Roman"/>
                      <w:color w:val="auto"/>
                      <w:sz w:val="21"/>
                      <w:szCs w:val="21"/>
                      <w:highlight w:val="none"/>
                    </w:rPr>
                  </w:pPr>
                </w:p>
              </w:tc>
              <w:tc>
                <w:tcPr>
                  <w:tcW w:w="423" w:type="dxa"/>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核算方法</w:t>
                  </w:r>
                </w:p>
              </w:tc>
              <w:tc>
                <w:tcPr>
                  <w:tcW w:w="738" w:type="dxa"/>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产生废水量m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tc>
              <w:tc>
                <w:tcPr>
                  <w:tcW w:w="817" w:type="dxa"/>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产生浓度mg/L</w:t>
                  </w:r>
                </w:p>
              </w:tc>
              <w:tc>
                <w:tcPr>
                  <w:tcW w:w="962" w:type="dxa"/>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产生量t/a</w:t>
                  </w:r>
                </w:p>
              </w:tc>
              <w:tc>
                <w:tcPr>
                  <w:tcW w:w="1032" w:type="dxa"/>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w:t>
                  </w:r>
                </w:p>
              </w:tc>
              <w:tc>
                <w:tcPr>
                  <w:tcW w:w="347" w:type="dxa"/>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效率</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42" w:type="dxa"/>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核算方法</w:t>
                  </w:r>
                </w:p>
              </w:tc>
              <w:tc>
                <w:tcPr>
                  <w:tcW w:w="673" w:type="dxa"/>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排放废水量m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tc>
              <w:tc>
                <w:tcPr>
                  <w:tcW w:w="790" w:type="dxa"/>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排放浓度mg/L</w:t>
                  </w:r>
                </w:p>
              </w:tc>
              <w:tc>
                <w:tcPr>
                  <w:tcW w:w="665" w:type="dxa"/>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排放量t/a</w:t>
                  </w:r>
                </w:p>
              </w:tc>
              <w:tc>
                <w:tcPr>
                  <w:tcW w:w="407" w:type="dxa"/>
                  <w:vMerge w:val="continue"/>
                  <w:tcBorders>
                    <w:tl2br w:val="nil"/>
                    <w:tr2bl w:val="nil"/>
                  </w:tcBorders>
                  <w:noWrap w:val="0"/>
                  <w:vAlign w:val="center"/>
                </w:tcPr>
                <w:p>
                  <w:pPr>
                    <w:jc w:val="center"/>
                    <w:rPr>
                      <w:rFonts w:hint="default" w:ascii="Times New Roman" w:hAnsi="Times New Roman"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717" w:type="dxa"/>
                  <w:vMerge w:val="restar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生活污水</w:t>
                  </w:r>
                </w:p>
              </w:tc>
              <w:tc>
                <w:tcPr>
                  <w:tcW w:w="829"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COD</w:t>
                  </w:r>
                </w:p>
              </w:tc>
              <w:tc>
                <w:tcPr>
                  <w:tcW w:w="423" w:type="dxa"/>
                  <w:vMerge w:val="restar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类比法</w:t>
                  </w:r>
                </w:p>
              </w:tc>
              <w:tc>
                <w:tcPr>
                  <w:tcW w:w="738"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459</w:t>
                  </w:r>
                </w:p>
              </w:tc>
              <w:tc>
                <w:tcPr>
                  <w:tcW w:w="817"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300</w:t>
                  </w:r>
                </w:p>
              </w:tc>
              <w:tc>
                <w:tcPr>
                  <w:tcW w:w="96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1377</w:t>
                  </w:r>
                </w:p>
              </w:tc>
              <w:tc>
                <w:tcPr>
                  <w:tcW w:w="1032" w:type="dxa"/>
                  <w:vMerge w:val="restart"/>
                  <w:tcBorders>
                    <w:tl2br w:val="nil"/>
                    <w:tr2bl w:val="nil"/>
                  </w:tcBorders>
                  <w:noWrap w:val="0"/>
                  <w:vAlign w:val="center"/>
                </w:tcPr>
                <w:p>
                  <w:pPr>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排入厂区防渗旱厕，定期清掏，外运堆肥</w:t>
                  </w:r>
                </w:p>
              </w:tc>
              <w:tc>
                <w:tcPr>
                  <w:tcW w:w="347" w:type="dxa"/>
                  <w:vMerge w:val="restar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42"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90"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66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407"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717" w:type="dxa"/>
                  <w:vMerge w:val="continue"/>
                  <w:tcBorders>
                    <w:tl2br w:val="nil"/>
                    <w:tr2bl w:val="nil"/>
                  </w:tcBorders>
                  <w:noWrap w:val="0"/>
                  <w:vAlign w:val="center"/>
                </w:tcPr>
                <w:p>
                  <w:pPr>
                    <w:jc w:val="center"/>
                    <w:rPr>
                      <w:rFonts w:hint="default" w:ascii="Times New Roman" w:hAnsi="Times New Roman" w:cs="Times New Roman"/>
                      <w:color w:val="auto"/>
                      <w:sz w:val="21"/>
                      <w:szCs w:val="21"/>
                      <w:highlight w:val="none"/>
                    </w:rPr>
                  </w:pPr>
                </w:p>
              </w:tc>
              <w:tc>
                <w:tcPr>
                  <w:tcW w:w="829"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423" w:type="dxa"/>
                  <w:vMerge w:val="continue"/>
                  <w:tcBorders>
                    <w:tl2br w:val="nil"/>
                    <w:tr2bl w:val="nil"/>
                  </w:tcBorders>
                  <w:noWrap w:val="0"/>
                  <w:vAlign w:val="center"/>
                </w:tcPr>
                <w:p>
                  <w:pPr>
                    <w:jc w:val="center"/>
                    <w:rPr>
                      <w:rFonts w:hint="default" w:ascii="Times New Roman" w:hAnsi="Times New Roman" w:cs="Times New Roman"/>
                      <w:color w:val="auto"/>
                      <w:sz w:val="21"/>
                      <w:szCs w:val="21"/>
                      <w:highlight w:val="none"/>
                    </w:rPr>
                  </w:pPr>
                </w:p>
              </w:tc>
              <w:tc>
                <w:tcPr>
                  <w:tcW w:w="738" w:type="dxa"/>
                  <w:vMerge w:val="continue"/>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p>
              </w:tc>
              <w:tc>
                <w:tcPr>
                  <w:tcW w:w="817"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200</w:t>
                  </w:r>
                </w:p>
              </w:tc>
              <w:tc>
                <w:tcPr>
                  <w:tcW w:w="96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918</w:t>
                  </w:r>
                </w:p>
              </w:tc>
              <w:tc>
                <w:tcPr>
                  <w:tcW w:w="1032" w:type="dxa"/>
                  <w:vMerge w:val="continue"/>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p>
              </w:tc>
              <w:tc>
                <w:tcPr>
                  <w:tcW w:w="347" w:type="dxa"/>
                  <w:vMerge w:val="continue"/>
                  <w:tcBorders>
                    <w:tl2br w:val="nil"/>
                    <w:tr2bl w:val="nil"/>
                  </w:tcBorders>
                  <w:noWrap w:val="0"/>
                  <w:vAlign w:val="center"/>
                </w:tcPr>
                <w:p>
                  <w:pPr>
                    <w:jc w:val="center"/>
                    <w:rPr>
                      <w:rFonts w:hint="default" w:ascii="Times New Roman" w:hAnsi="Times New Roman" w:cs="Times New Roman"/>
                      <w:color w:val="auto"/>
                      <w:sz w:val="21"/>
                      <w:szCs w:val="21"/>
                      <w:highlight w:val="none"/>
                    </w:rPr>
                  </w:pPr>
                </w:p>
              </w:tc>
              <w:tc>
                <w:tcPr>
                  <w:tcW w:w="442" w:type="dxa"/>
                  <w:vMerge w:val="continue"/>
                  <w:tcBorders>
                    <w:tl2br w:val="nil"/>
                    <w:tr2bl w:val="nil"/>
                  </w:tcBorders>
                  <w:noWrap w:val="0"/>
                  <w:vAlign w:val="center"/>
                </w:tcPr>
                <w:p>
                  <w:pPr>
                    <w:jc w:val="center"/>
                    <w:rPr>
                      <w:rFonts w:hint="eastAsia" w:ascii="Times New Roman" w:hAnsi="Times New Roman" w:cs="Times New Roman"/>
                      <w:color w:val="auto"/>
                      <w:sz w:val="21"/>
                      <w:szCs w:val="21"/>
                      <w:highlight w:val="none"/>
                      <w:lang w:val="en-US" w:eastAsia="zh-CN"/>
                    </w:rPr>
                  </w:pPr>
                </w:p>
              </w:tc>
              <w:tc>
                <w:tcPr>
                  <w:tcW w:w="6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90"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66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407" w:type="dxa"/>
                  <w:vMerge w:val="continue"/>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717" w:type="dxa"/>
                  <w:vMerge w:val="continue"/>
                  <w:tcBorders>
                    <w:tl2br w:val="nil"/>
                    <w:tr2bl w:val="nil"/>
                  </w:tcBorders>
                  <w:noWrap w:val="0"/>
                  <w:vAlign w:val="center"/>
                </w:tcPr>
                <w:p>
                  <w:pPr>
                    <w:jc w:val="center"/>
                    <w:rPr>
                      <w:rFonts w:hint="default" w:ascii="Times New Roman" w:hAnsi="Times New Roman" w:cs="Times New Roman"/>
                      <w:color w:val="auto"/>
                      <w:sz w:val="21"/>
                      <w:szCs w:val="21"/>
                      <w:highlight w:val="none"/>
                    </w:rPr>
                  </w:pPr>
                </w:p>
              </w:tc>
              <w:tc>
                <w:tcPr>
                  <w:tcW w:w="829"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SS</w:t>
                  </w:r>
                </w:p>
              </w:tc>
              <w:tc>
                <w:tcPr>
                  <w:tcW w:w="423" w:type="dxa"/>
                  <w:vMerge w:val="continue"/>
                  <w:tcBorders>
                    <w:tl2br w:val="nil"/>
                    <w:tr2bl w:val="nil"/>
                  </w:tcBorders>
                  <w:noWrap w:val="0"/>
                  <w:vAlign w:val="center"/>
                </w:tcPr>
                <w:p>
                  <w:pPr>
                    <w:jc w:val="center"/>
                    <w:rPr>
                      <w:rFonts w:hint="default" w:ascii="Times New Roman" w:hAnsi="Times New Roman" w:cs="Times New Roman"/>
                      <w:color w:val="auto"/>
                      <w:sz w:val="21"/>
                      <w:szCs w:val="21"/>
                      <w:highlight w:val="none"/>
                    </w:rPr>
                  </w:pPr>
                </w:p>
              </w:tc>
              <w:tc>
                <w:tcPr>
                  <w:tcW w:w="738" w:type="dxa"/>
                  <w:vMerge w:val="continue"/>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p>
              </w:tc>
              <w:tc>
                <w:tcPr>
                  <w:tcW w:w="817"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200</w:t>
                  </w:r>
                </w:p>
              </w:tc>
              <w:tc>
                <w:tcPr>
                  <w:tcW w:w="96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918</w:t>
                  </w:r>
                </w:p>
              </w:tc>
              <w:tc>
                <w:tcPr>
                  <w:tcW w:w="1032" w:type="dxa"/>
                  <w:vMerge w:val="continue"/>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p>
              </w:tc>
              <w:tc>
                <w:tcPr>
                  <w:tcW w:w="347" w:type="dxa"/>
                  <w:vMerge w:val="continue"/>
                  <w:tcBorders>
                    <w:tl2br w:val="nil"/>
                    <w:tr2bl w:val="nil"/>
                  </w:tcBorders>
                  <w:noWrap w:val="0"/>
                  <w:vAlign w:val="center"/>
                </w:tcPr>
                <w:p>
                  <w:pPr>
                    <w:jc w:val="center"/>
                    <w:rPr>
                      <w:rFonts w:hint="default" w:ascii="Times New Roman" w:hAnsi="Times New Roman" w:cs="Times New Roman"/>
                      <w:color w:val="auto"/>
                      <w:sz w:val="21"/>
                      <w:szCs w:val="21"/>
                      <w:highlight w:val="none"/>
                    </w:rPr>
                  </w:pPr>
                </w:p>
              </w:tc>
              <w:tc>
                <w:tcPr>
                  <w:tcW w:w="442" w:type="dxa"/>
                  <w:vMerge w:val="continue"/>
                  <w:tcBorders>
                    <w:tl2br w:val="nil"/>
                    <w:tr2bl w:val="nil"/>
                  </w:tcBorders>
                  <w:noWrap w:val="0"/>
                  <w:vAlign w:val="center"/>
                </w:tcPr>
                <w:p>
                  <w:pPr>
                    <w:jc w:val="center"/>
                    <w:rPr>
                      <w:rFonts w:hint="eastAsia" w:ascii="Times New Roman" w:hAnsi="Times New Roman" w:cs="Times New Roman"/>
                      <w:color w:val="auto"/>
                      <w:sz w:val="21"/>
                      <w:szCs w:val="21"/>
                      <w:highlight w:val="none"/>
                      <w:lang w:val="en-US" w:eastAsia="zh-CN"/>
                    </w:rPr>
                  </w:pPr>
                </w:p>
              </w:tc>
              <w:tc>
                <w:tcPr>
                  <w:tcW w:w="6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90"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66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407" w:type="dxa"/>
                  <w:vMerge w:val="continue"/>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717" w:type="dxa"/>
                  <w:vMerge w:val="continue"/>
                  <w:tcBorders>
                    <w:tl2br w:val="nil"/>
                    <w:tr2bl w:val="nil"/>
                  </w:tcBorders>
                  <w:noWrap w:val="0"/>
                  <w:vAlign w:val="center"/>
                </w:tcPr>
                <w:p>
                  <w:pPr>
                    <w:jc w:val="center"/>
                    <w:rPr>
                      <w:rFonts w:hint="default" w:ascii="Times New Roman" w:hAnsi="Times New Roman" w:cs="Times New Roman"/>
                      <w:color w:val="auto"/>
                      <w:sz w:val="21"/>
                      <w:szCs w:val="21"/>
                      <w:highlight w:val="none"/>
                    </w:rPr>
                  </w:pPr>
                </w:p>
              </w:tc>
              <w:tc>
                <w:tcPr>
                  <w:tcW w:w="829"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氨氮</w:t>
                  </w:r>
                </w:p>
              </w:tc>
              <w:tc>
                <w:tcPr>
                  <w:tcW w:w="423" w:type="dxa"/>
                  <w:vMerge w:val="continue"/>
                  <w:tcBorders>
                    <w:tl2br w:val="nil"/>
                    <w:tr2bl w:val="nil"/>
                  </w:tcBorders>
                  <w:noWrap w:val="0"/>
                  <w:vAlign w:val="center"/>
                </w:tcPr>
                <w:p>
                  <w:pPr>
                    <w:jc w:val="center"/>
                    <w:rPr>
                      <w:rFonts w:hint="default" w:ascii="Times New Roman" w:hAnsi="Times New Roman" w:cs="Times New Roman"/>
                      <w:color w:val="auto"/>
                      <w:sz w:val="21"/>
                      <w:szCs w:val="21"/>
                      <w:highlight w:val="none"/>
                    </w:rPr>
                  </w:pPr>
                </w:p>
              </w:tc>
              <w:tc>
                <w:tcPr>
                  <w:tcW w:w="738" w:type="dxa"/>
                  <w:vMerge w:val="continue"/>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p>
              </w:tc>
              <w:tc>
                <w:tcPr>
                  <w:tcW w:w="817"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25</w:t>
                  </w:r>
                </w:p>
              </w:tc>
              <w:tc>
                <w:tcPr>
                  <w:tcW w:w="96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114</w:t>
                  </w:r>
                </w:p>
              </w:tc>
              <w:tc>
                <w:tcPr>
                  <w:tcW w:w="1032" w:type="dxa"/>
                  <w:vMerge w:val="continue"/>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p>
              </w:tc>
              <w:tc>
                <w:tcPr>
                  <w:tcW w:w="347" w:type="dxa"/>
                  <w:vMerge w:val="continue"/>
                  <w:tcBorders>
                    <w:tl2br w:val="nil"/>
                    <w:tr2bl w:val="nil"/>
                  </w:tcBorders>
                  <w:noWrap w:val="0"/>
                  <w:vAlign w:val="center"/>
                </w:tcPr>
                <w:p>
                  <w:pPr>
                    <w:jc w:val="center"/>
                    <w:rPr>
                      <w:rFonts w:hint="default" w:ascii="Times New Roman" w:hAnsi="Times New Roman" w:cs="Times New Roman"/>
                      <w:color w:val="auto"/>
                      <w:sz w:val="21"/>
                      <w:szCs w:val="21"/>
                      <w:highlight w:val="none"/>
                    </w:rPr>
                  </w:pPr>
                </w:p>
              </w:tc>
              <w:tc>
                <w:tcPr>
                  <w:tcW w:w="442" w:type="dxa"/>
                  <w:vMerge w:val="continue"/>
                  <w:tcBorders>
                    <w:tl2br w:val="nil"/>
                    <w:tr2bl w:val="nil"/>
                  </w:tcBorders>
                  <w:noWrap w:val="0"/>
                  <w:vAlign w:val="center"/>
                </w:tcPr>
                <w:p>
                  <w:pPr>
                    <w:jc w:val="center"/>
                    <w:rPr>
                      <w:rFonts w:hint="eastAsia" w:ascii="Times New Roman" w:hAnsi="Times New Roman" w:cs="Times New Roman"/>
                      <w:color w:val="auto"/>
                      <w:sz w:val="21"/>
                      <w:szCs w:val="21"/>
                      <w:highlight w:val="none"/>
                      <w:lang w:val="en-US" w:eastAsia="zh-CN"/>
                    </w:rPr>
                  </w:pPr>
                </w:p>
              </w:tc>
              <w:tc>
                <w:tcPr>
                  <w:tcW w:w="6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90"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66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407" w:type="dxa"/>
                  <w:vMerge w:val="continue"/>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p>
              </w:tc>
            </w:tr>
          </w:tbl>
          <w:p>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、废水环境影响分析</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本项目实施后，生活污水排入现有防渗旱厕，定期清掏，外运堆肥；项目原料搅拌用水全部进入产品，在自然养护时，全部自然蒸发，不外排。</w:t>
            </w:r>
          </w:p>
          <w:p>
            <w:pPr>
              <w:pStyle w:val="76"/>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项目喷雾</w:t>
            </w:r>
            <w:r>
              <w:rPr>
                <w:rFonts w:hint="default" w:ascii="Times New Roman" w:hAnsi="Times New Roman" w:eastAsia="宋体" w:cs="Times New Roman"/>
                <w:color w:val="auto"/>
                <w:kern w:val="2"/>
                <w:sz w:val="24"/>
                <w:szCs w:val="24"/>
                <w:highlight w:val="none"/>
                <w:lang w:val="en-US" w:eastAsia="zh-CN" w:bidi="ar-SA"/>
              </w:rPr>
              <w:t>抑尘</w:t>
            </w:r>
            <w:r>
              <w:rPr>
                <w:rFonts w:hint="eastAsia" w:ascii="Times New Roman" w:hAnsi="Times New Roman" w:eastAsia="宋体" w:cs="Times New Roman"/>
                <w:color w:val="auto"/>
                <w:kern w:val="2"/>
                <w:sz w:val="24"/>
                <w:szCs w:val="24"/>
                <w:highlight w:val="none"/>
                <w:lang w:val="en-US" w:eastAsia="zh-CN" w:bidi="ar-SA"/>
              </w:rPr>
              <w:t>、洒水降尘用水全部自然蒸发，不外排；</w:t>
            </w:r>
            <w:r>
              <w:rPr>
                <w:rFonts w:hint="eastAsia" w:cs="Times New Roman"/>
                <w:color w:val="auto"/>
                <w:kern w:val="2"/>
                <w:sz w:val="24"/>
                <w:szCs w:val="24"/>
                <w:highlight w:val="none"/>
                <w:lang w:val="en-US" w:eastAsia="zh-CN" w:bidi="ar-SA"/>
              </w:rPr>
              <w:t>搅拌机冲</w:t>
            </w:r>
            <w:r>
              <w:rPr>
                <w:rFonts w:hint="default" w:ascii="Times New Roman" w:hAnsi="Times New Roman" w:eastAsia="宋体" w:cs="Times New Roman"/>
                <w:color w:val="auto"/>
                <w:kern w:val="2"/>
                <w:sz w:val="24"/>
                <w:szCs w:val="24"/>
                <w:highlight w:val="none"/>
                <w:lang w:val="en-US" w:eastAsia="zh-CN" w:bidi="ar-SA"/>
              </w:rPr>
              <w:t>洗</w:t>
            </w:r>
            <w:r>
              <w:rPr>
                <w:rFonts w:hint="eastAsia" w:cs="Times New Roman"/>
                <w:color w:val="auto"/>
                <w:kern w:val="2"/>
                <w:sz w:val="24"/>
                <w:szCs w:val="24"/>
                <w:highlight w:val="none"/>
                <w:lang w:val="en-US" w:eastAsia="zh-CN" w:bidi="ar-SA"/>
              </w:rPr>
              <w:t>、罐车冲洗</w:t>
            </w:r>
            <w:r>
              <w:rPr>
                <w:rFonts w:hint="default" w:ascii="Times New Roman" w:hAnsi="Times New Roman" w:eastAsia="宋体" w:cs="Times New Roman"/>
                <w:color w:val="auto"/>
                <w:kern w:val="2"/>
                <w:sz w:val="24"/>
                <w:szCs w:val="24"/>
                <w:highlight w:val="none"/>
                <w:lang w:val="en-US" w:eastAsia="zh-CN" w:bidi="ar-SA"/>
              </w:rPr>
              <w:t>废水</w:t>
            </w:r>
            <w:r>
              <w:rPr>
                <w:rFonts w:hint="eastAsia" w:cs="Times New Roman"/>
                <w:color w:val="auto"/>
                <w:kern w:val="2"/>
                <w:sz w:val="24"/>
                <w:szCs w:val="24"/>
                <w:highlight w:val="none"/>
                <w:lang w:val="en-US" w:eastAsia="zh-CN" w:bidi="ar-SA"/>
              </w:rPr>
              <w:t>和作业带冲洗废水</w:t>
            </w:r>
            <w:r>
              <w:rPr>
                <w:rFonts w:hint="default" w:ascii="Times New Roman" w:hAnsi="Times New Roman" w:eastAsia="宋体" w:cs="Times New Roman"/>
                <w:color w:val="auto"/>
                <w:kern w:val="2"/>
                <w:sz w:val="24"/>
                <w:szCs w:val="24"/>
                <w:highlight w:val="none"/>
                <w:lang w:val="en-US" w:eastAsia="zh-CN" w:bidi="ar-SA"/>
              </w:rPr>
              <w:t>经沉淀池处理后回用于搅拌工序，不外排。</w:t>
            </w:r>
          </w:p>
          <w:p>
            <w:pPr>
              <w:pStyle w:val="76"/>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初期雨水经厂区四周排水沟汇入沉淀池沉淀，</w:t>
            </w:r>
            <w:r>
              <w:rPr>
                <w:rFonts w:hint="eastAsia" w:cs="Times New Roman"/>
                <w:color w:val="auto"/>
                <w:kern w:val="0"/>
                <w:sz w:val="24"/>
                <w:szCs w:val="24"/>
                <w:highlight w:val="none"/>
                <w:lang w:val="en-US" w:eastAsia="zh-CN" w:bidi="ar-SA"/>
              </w:rPr>
              <w:t>回用于生产</w:t>
            </w:r>
            <w:r>
              <w:rPr>
                <w:rFonts w:hint="eastAsia" w:ascii="Times New Roman" w:hAnsi="Times New Roman" w:eastAsia="宋体" w:cs="Times New Roman"/>
                <w:color w:val="auto"/>
                <w:kern w:val="0"/>
                <w:sz w:val="24"/>
                <w:szCs w:val="24"/>
                <w:highlight w:val="none"/>
                <w:lang w:val="en-US" w:eastAsia="zh-CN" w:bidi="ar-SA"/>
              </w:rPr>
              <w:t>，不外排。</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综上，本项目废水均不外排，对周围水环境影响较小。</w:t>
            </w:r>
          </w:p>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三、</w:t>
            </w:r>
            <w:r>
              <w:rPr>
                <w:b/>
                <w:bCs/>
                <w:color w:val="auto"/>
                <w:sz w:val="24"/>
                <w:highlight w:val="none"/>
              </w:rPr>
              <w:t>噪声</w:t>
            </w:r>
          </w:p>
          <w:p>
            <w:pPr>
              <w:adjustRightInd w:val="0"/>
              <w:snapToGrid w:val="0"/>
              <w:spacing w:line="360" w:lineRule="auto"/>
              <w:ind w:firstLine="480" w:firstLineChars="200"/>
              <w:rPr>
                <w:color w:val="auto"/>
                <w:sz w:val="24"/>
                <w:highlight w:val="none"/>
              </w:rPr>
            </w:pPr>
            <w:r>
              <w:rPr>
                <w:rFonts w:hint="default" w:ascii="Times New Roman" w:hAnsi="Times New Roman" w:cs="Times New Roman"/>
                <w:color w:val="auto"/>
                <w:sz w:val="24"/>
                <w:highlight w:val="none"/>
              </w:rPr>
              <w:t>1</w:t>
            </w:r>
            <w:r>
              <w:rPr>
                <w:rFonts w:hint="eastAsia"/>
                <w:color w:val="auto"/>
                <w:sz w:val="24"/>
                <w:highlight w:val="none"/>
              </w:rPr>
              <w:t>、</w:t>
            </w:r>
            <w:r>
              <w:rPr>
                <w:color w:val="auto"/>
                <w:sz w:val="24"/>
                <w:highlight w:val="none"/>
              </w:rPr>
              <w:t>主要噪声源及源强</w:t>
            </w:r>
          </w:p>
          <w:p>
            <w:pPr>
              <w:adjustRightInd w:val="0"/>
              <w:snapToGrid w:val="0"/>
              <w:spacing w:line="360" w:lineRule="auto"/>
              <w:ind w:firstLine="480" w:firstLineChars="200"/>
              <w:rPr>
                <w:rFonts w:hint="eastAsia"/>
                <w:b/>
                <w:bCs/>
                <w:color w:val="auto"/>
                <w:kern w:val="0"/>
                <w:sz w:val="24"/>
                <w:highlight w:val="none"/>
              </w:rPr>
            </w:pPr>
            <w:r>
              <w:rPr>
                <w:rFonts w:hint="default" w:ascii="Times New Roman" w:hAnsi="Times New Roman" w:eastAsia="宋体" w:cs="Times New Roman"/>
                <w:color w:val="auto"/>
                <w:sz w:val="24"/>
                <w:highlight w:val="none"/>
                <w:lang w:val="en-US" w:eastAsia="zh-CN"/>
              </w:rPr>
              <w:t>项目投入运营后，噪声主要来源于设备运行时</w:t>
            </w:r>
            <w:r>
              <w:rPr>
                <w:rFonts w:hint="eastAsia" w:ascii="Times New Roman" w:hAnsi="Times New Roman" w:eastAsia="宋体" w:cs="Times New Roman"/>
                <w:color w:val="auto"/>
                <w:sz w:val="24"/>
                <w:highlight w:val="none"/>
                <w:lang w:val="en-US" w:eastAsia="zh-CN"/>
              </w:rPr>
              <w:t>和运输车辆运输时</w:t>
            </w:r>
            <w:r>
              <w:rPr>
                <w:rFonts w:hint="default" w:ascii="Times New Roman" w:hAnsi="Times New Roman" w:eastAsia="宋体" w:cs="Times New Roman"/>
                <w:color w:val="auto"/>
                <w:sz w:val="24"/>
                <w:highlight w:val="none"/>
                <w:lang w:val="en-US" w:eastAsia="zh-CN"/>
              </w:rPr>
              <w:t>产生的噪</w:t>
            </w:r>
            <w:r>
              <w:rPr>
                <w:rFonts w:hint="eastAsia" w:ascii="Times New Roman" w:hAnsi="Times New Roman" w:eastAsia="宋体" w:cs="Times New Roman"/>
                <w:color w:val="auto"/>
                <w:sz w:val="24"/>
                <w:highlight w:val="none"/>
                <w:lang w:val="en-US" w:eastAsia="zh-CN"/>
              </w:rPr>
              <w:t>声</w:t>
            </w:r>
            <w:r>
              <w:rPr>
                <w:rFonts w:hint="default" w:ascii="Times New Roman" w:hAnsi="Times New Roman" w:eastAsia="宋体" w:cs="Times New Roman"/>
                <w:color w:val="auto"/>
                <w:sz w:val="24"/>
                <w:highlight w:val="none"/>
                <w:lang w:val="en-US" w:eastAsia="zh-CN"/>
              </w:rPr>
              <w:t>。</w:t>
            </w:r>
            <w:r>
              <w:rPr>
                <w:rFonts w:ascii="Times New Roman" w:hAnsi="Times New Roman" w:eastAsia="宋体" w:cs="Times New Roman"/>
                <w:color w:val="auto"/>
                <w:sz w:val="24"/>
                <w:highlight w:val="none"/>
              </w:rPr>
              <w:t>噪声源强见表</w:t>
            </w:r>
            <w:r>
              <w:rPr>
                <w:rFonts w:hint="default" w:ascii="Times New Roman" w:hAnsi="Times New Roman" w:eastAsia="宋体" w:cs="Times New Roman"/>
                <w:color w:val="auto"/>
                <w:sz w:val="24"/>
                <w:highlight w:val="none"/>
              </w:rPr>
              <w:t>4</w:t>
            </w:r>
            <w:r>
              <w:rPr>
                <w:rFonts w:ascii="Times New Roman" w:hAnsi="Times New Roman" w:eastAsia="宋体" w:cs="Times New Roman"/>
                <w:color w:val="auto"/>
                <w:sz w:val="24"/>
                <w:highlight w:val="none"/>
              </w:rPr>
              <w:t>-</w:t>
            </w:r>
            <w:r>
              <w:rPr>
                <w:rFonts w:hint="default" w:ascii="Times New Roman" w:hAnsi="Times New Roman"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8</w:t>
            </w:r>
            <w:r>
              <w:rPr>
                <w:rFonts w:ascii="Times New Roman" w:hAnsi="Times New Roman" w:eastAsia="宋体" w:cs="Times New Roman"/>
                <w:color w:val="auto"/>
                <w:sz w:val="24"/>
                <w:highlight w:val="none"/>
              </w:rPr>
              <w:t>。</w:t>
            </w:r>
          </w:p>
          <w:p>
            <w:pPr>
              <w:pStyle w:val="181"/>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rPr>
              <w:t>表</w:t>
            </w:r>
            <w:r>
              <w:rPr>
                <w:rFonts w:hint="default" w:ascii="Times New Roman" w:hAnsi="Times New Roman" w:eastAsia="宋体" w:cs="Times New Roman"/>
                <w:b/>
                <w:bCs/>
                <w:color w:val="auto"/>
                <w:kern w:val="0"/>
                <w:sz w:val="24"/>
                <w:highlight w:val="none"/>
              </w:rPr>
              <w:t>4</w:t>
            </w:r>
            <w:r>
              <w:rPr>
                <w:rFonts w:hint="eastAsia" w:ascii="Times New Roman" w:hAnsi="Times New Roman" w:eastAsia="宋体" w:cs="Times New Roman"/>
                <w:b/>
                <w:bCs/>
                <w:color w:val="auto"/>
                <w:kern w:val="0"/>
                <w:sz w:val="24"/>
                <w:highlight w:val="none"/>
              </w:rPr>
              <w:t>-</w:t>
            </w:r>
            <w:r>
              <w:rPr>
                <w:rFonts w:hint="default" w:ascii="Times New Roman" w:hAnsi="Times New Roman" w:cs="Times New Roman"/>
                <w:b/>
                <w:bCs/>
                <w:color w:val="auto"/>
                <w:kern w:val="0"/>
                <w:sz w:val="24"/>
                <w:highlight w:val="none"/>
                <w:lang w:val="en-US" w:eastAsia="zh-CN"/>
              </w:rPr>
              <w:t>7</w:t>
            </w:r>
            <w:r>
              <w:rPr>
                <w:rFonts w:hint="eastAsia" w:ascii="Times New Roman" w:hAnsi="Times New Roman" w:eastAsia="宋体" w:cs="Times New Roman"/>
                <w:b/>
                <w:bCs/>
                <w:color w:val="auto"/>
                <w:kern w:val="0"/>
                <w:sz w:val="24"/>
                <w:highlight w:val="none"/>
              </w:rPr>
              <w:t xml:space="preserve"> </w:t>
            </w:r>
            <w:r>
              <w:rPr>
                <w:rFonts w:hint="default" w:ascii="Times New Roman" w:hAnsi="Times New Roman" w:eastAsia="宋体" w:cs="Times New Roman"/>
                <w:b/>
                <w:bCs/>
                <w:color w:val="auto"/>
                <w:kern w:val="0"/>
                <w:sz w:val="24"/>
                <w:highlight w:val="none"/>
                <w:lang w:val="en-US" w:eastAsia="zh-CN"/>
              </w:rPr>
              <w:t>本项目运营期噪声源强调查清单（室</w:t>
            </w:r>
            <w:r>
              <w:rPr>
                <w:rFonts w:hint="eastAsia" w:ascii="Times New Roman" w:hAnsi="Times New Roman" w:eastAsia="宋体" w:cs="Times New Roman"/>
                <w:b/>
                <w:bCs/>
                <w:color w:val="auto"/>
                <w:kern w:val="0"/>
                <w:sz w:val="24"/>
                <w:highlight w:val="none"/>
                <w:lang w:val="en-US" w:eastAsia="zh-CN"/>
              </w:rPr>
              <w:t>外</w:t>
            </w:r>
            <w:r>
              <w:rPr>
                <w:rFonts w:hint="default" w:ascii="Times New Roman" w:hAnsi="Times New Roman" w:eastAsia="宋体" w:cs="Times New Roman"/>
                <w:b/>
                <w:bCs/>
                <w:color w:val="auto"/>
                <w:kern w:val="0"/>
                <w:sz w:val="24"/>
                <w:highlight w:val="none"/>
                <w:lang w:val="en-US" w:eastAsia="zh-CN"/>
              </w:rPr>
              <w:t>声源）</w:t>
            </w:r>
          </w:p>
          <w:tbl>
            <w:tblPr>
              <w:tblStyle w:val="32"/>
              <w:tblW w:w="8826"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60"/>
              <w:gridCol w:w="1686"/>
              <w:gridCol w:w="830"/>
              <w:gridCol w:w="721"/>
              <w:gridCol w:w="695"/>
              <w:gridCol w:w="686"/>
              <w:gridCol w:w="1170"/>
              <w:gridCol w:w="1746"/>
              <w:gridCol w:w="73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87" w:hRule="atLeast"/>
                <w:jc w:val="center"/>
              </w:trPr>
              <w:tc>
                <w:tcPr>
                  <w:tcW w:w="560" w:type="dxa"/>
                  <w:vMerge w:val="restart"/>
                  <w:tcBorders>
                    <w:tl2br w:val="nil"/>
                    <w:tr2bl w:val="nil"/>
                  </w:tcBorders>
                  <w:noWrap w:val="0"/>
                  <w:vAlign w:val="center"/>
                </w:tcPr>
                <w:p>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r>
                    <w:rPr>
                      <w:rFonts w:hint="default"/>
                      <w:color w:val="auto"/>
                      <w:sz w:val="21"/>
                      <w:szCs w:val="21"/>
                      <w:highlight w:val="none"/>
                      <w:lang w:val="en-US" w:eastAsia="zh-CN"/>
                    </w:rPr>
                    <w:t>序号</w:t>
                  </w:r>
                </w:p>
              </w:tc>
              <w:tc>
                <w:tcPr>
                  <w:tcW w:w="1686" w:type="dxa"/>
                  <w:vMerge w:val="restart"/>
                  <w:tcBorders>
                    <w:tl2br w:val="nil"/>
                    <w:tr2bl w:val="nil"/>
                  </w:tcBorders>
                  <w:noWrap w:val="0"/>
                  <w:vAlign w:val="center"/>
                </w:tcPr>
                <w:p>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r>
                    <w:rPr>
                      <w:rFonts w:hint="default"/>
                      <w:color w:val="auto"/>
                      <w:sz w:val="21"/>
                      <w:szCs w:val="21"/>
                      <w:highlight w:val="none"/>
                      <w:lang w:val="en-US" w:eastAsia="zh-CN"/>
                    </w:rPr>
                    <w:t>声源名称</w:t>
                  </w:r>
                </w:p>
              </w:tc>
              <w:tc>
                <w:tcPr>
                  <w:tcW w:w="830" w:type="dxa"/>
                  <w:vMerge w:val="restart"/>
                  <w:tcBorders>
                    <w:tl2br w:val="nil"/>
                    <w:tr2bl w:val="nil"/>
                  </w:tcBorders>
                  <w:noWrap w:val="0"/>
                  <w:vAlign w:val="center"/>
                </w:tcPr>
                <w:p>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r>
                    <w:rPr>
                      <w:rFonts w:hint="default"/>
                      <w:color w:val="auto"/>
                      <w:sz w:val="21"/>
                      <w:szCs w:val="21"/>
                      <w:highlight w:val="none"/>
                      <w:lang w:eastAsia="zh-CN"/>
                    </w:rPr>
                    <w:t>型号</w:t>
                  </w:r>
                </w:p>
              </w:tc>
              <w:tc>
                <w:tcPr>
                  <w:tcW w:w="2102" w:type="dxa"/>
                  <w:gridSpan w:val="3"/>
                  <w:tcBorders>
                    <w:tl2br w:val="nil"/>
                    <w:tr2bl w:val="nil"/>
                  </w:tcBorders>
                  <w:noWrap w:val="0"/>
                  <w:vAlign w:val="center"/>
                </w:tcPr>
                <w:p>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r>
                    <w:rPr>
                      <w:rFonts w:hint="default"/>
                      <w:color w:val="auto"/>
                      <w:sz w:val="21"/>
                      <w:szCs w:val="21"/>
                      <w:highlight w:val="none"/>
                      <w:lang w:val="en-US" w:eastAsia="zh-CN"/>
                    </w:rPr>
                    <w:t>空间相对位置/</w:t>
                  </w:r>
                  <w:r>
                    <w:rPr>
                      <w:rFonts w:hint="default" w:ascii="Times New Roman" w:hAnsi="Times New Roman" w:cs="Times New Roman"/>
                      <w:color w:val="auto"/>
                      <w:sz w:val="21"/>
                      <w:szCs w:val="21"/>
                      <w:highlight w:val="none"/>
                      <w:lang w:val="en-US" w:eastAsia="zh-CN"/>
                    </w:rPr>
                    <w:t>m</w:t>
                  </w:r>
                </w:p>
              </w:tc>
              <w:tc>
                <w:tcPr>
                  <w:tcW w:w="1170" w:type="dxa"/>
                  <w:vMerge w:val="restart"/>
                  <w:tcBorders>
                    <w:tl2br w:val="nil"/>
                    <w:tr2bl w:val="nil"/>
                  </w:tcBorders>
                  <w:noWrap w:val="0"/>
                  <w:vAlign w:val="center"/>
                </w:tcPr>
                <w:p>
                  <w:pPr>
                    <w:pStyle w:val="182"/>
                    <w:keepNext w:val="0"/>
                    <w:keepLines w:val="0"/>
                    <w:pageBreakBefore w:val="0"/>
                    <w:widowControl/>
                    <w:kinsoku/>
                    <w:wordWrap/>
                    <w:topLinePunct w:val="0"/>
                    <w:bidi w:val="0"/>
                    <w:spacing w:line="240" w:lineRule="auto"/>
                    <w:ind w:right="0"/>
                    <w:rPr>
                      <w:rFonts w:hint="default"/>
                      <w:color w:val="auto"/>
                      <w:sz w:val="21"/>
                      <w:szCs w:val="21"/>
                      <w:highlight w:val="none"/>
                      <w:lang w:val="en-US"/>
                    </w:rPr>
                  </w:pPr>
                  <w:r>
                    <w:rPr>
                      <w:rFonts w:hint="default"/>
                      <w:color w:val="auto"/>
                      <w:sz w:val="21"/>
                      <w:szCs w:val="21"/>
                      <w:highlight w:val="none"/>
                      <w:lang w:val="en-US" w:eastAsia="zh-CN"/>
                    </w:rPr>
                    <w:t>声源源强</w:t>
                  </w:r>
                  <w:r>
                    <w:rPr>
                      <w:rFonts w:hint="eastAsia"/>
                      <w:color w:val="auto"/>
                      <w:sz w:val="21"/>
                      <w:szCs w:val="21"/>
                      <w:highlight w:val="none"/>
                      <w:lang w:val="en-US" w:eastAsia="zh-CN"/>
                    </w:rPr>
                    <w:t>-</w:t>
                  </w:r>
                  <w:r>
                    <w:rPr>
                      <w:rFonts w:hint="default"/>
                      <w:color w:val="auto"/>
                      <w:sz w:val="21"/>
                      <w:szCs w:val="21"/>
                      <w:highlight w:val="none"/>
                      <w:lang w:eastAsia="zh-CN"/>
                    </w:rPr>
                    <w:t>声功率级</w:t>
                  </w:r>
                  <w:r>
                    <w:rPr>
                      <w:rFonts w:hint="default"/>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dB</w:t>
                  </w:r>
                  <w:r>
                    <w:rPr>
                      <w:rFonts w:hint="default"/>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A</w:t>
                  </w:r>
                  <w:r>
                    <w:rPr>
                      <w:rFonts w:hint="default"/>
                      <w:color w:val="auto"/>
                      <w:sz w:val="21"/>
                      <w:szCs w:val="21"/>
                      <w:highlight w:val="none"/>
                      <w:lang w:val="en-US" w:eastAsia="zh-CN"/>
                    </w:rPr>
                    <w:t>)</w:t>
                  </w:r>
                </w:p>
              </w:tc>
              <w:tc>
                <w:tcPr>
                  <w:tcW w:w="1746" w:type="dxa"/>
                  <w:vMerge w:val="restart"/>
                  <w:tcBorders>
                    <w:tl2br w:val="nil"/>
                    <w:tr2bl w:val="nil"/>
                  </w:tcBorders>
                  <w:noWrap w:val="0"/>
                  <w:vAlign w:val="center"/>
                </w:tcPr>
                <w:p>
                  <w:pPr>
                    <w:pStyle w:val="182"/>
                    <w:keepNext w:val="0"/>
                    <w:keepLines w:val="0"/>
                    <w:pageBreakBefore w:val="0"/>
                    <w:widowControl/>
                    <w:kinsoku/>
                    <w:wordWrap/>
                    <w:topLinePunct w:val="0"/>
                    <w:bidi w:val="0"/>
                    <w:spacing w:line="240" w:lineRule="auto"/>
                    <w:ind w:right="0"/>
                    <w:rPr>
                      <w:rFonts w:hint="default"/>
                      <w:color w:val="auto"/>
                      <w:sz w:val="21"/>
                      <w:szCs w:val="21"/>
                      <w:highlight w:val="none"/>
                      <w:lang w:val="en-US" w:eastAsia="zh-CN"/>
                    </w:rPr>
                  </w:pPr>
                  <w:r>
                    <w:rPr>
                      <w:rFonts w:hint="default"/>
                      <w:color w:val="auto"/>
                      <w:sz w:val="21"/>
                      <w:szCs w:val="21"/>
                      <w:highlight w:val="none"/>
                      <w:lang w:val="en-US" w:eastAsia="zh-CN"/>
                    </w:rPr>
                    <w:t>声控制措施</w:t>
                  </w:r>
                </w:p>
              </w:tc>
              <w:tc>
                <w:tcPr>
                  <w:tcW w:w="732" w:type="dxa"/>
                  <w:vMerge w:val="restart"/>
                  <w:tcBorders>
                    <w:tl2br w:val="nil"/>
                    <w:tr2bl w:val="nil"/>
                  </w:tcBorders>
                  <w:noWrap w:val="0"/>
                  <w:vAlign w:val="center"/>
                </w:tcPr>
                <w:p>
                  <w:pPr>
                    <w:pStyle w:val="182"/>
                    <w:keepNext w:val="0"/>
                    <w:keepLines w:val="0"/>
                    <w:pageBreakBefore w:val="0"/>
                    <w:widowControl/>
                    <w:kinsoku/>
                    <w:wordWrap/>
                    <w:topLinePunct w:val="0"/>
                    <w:bidi w:val="0"/>
                    <w:spacing w:line="240" w:lineRule="auto"/>
                    <w:ind w:right="0"/>
                    <w:rPr>
                      <w:rFonts w:hint="default"/>
                      <w:color w:val="auto"/>
                      <w:sz w:val="21"/>
                      <w:szCs w:val="21"/>
                      <w:highlight w:val="none"/>
                      <w:lang w:val="en-US" w:eastAsia="zh-CN"/>
                    </w:rPr>
                  </w:pPr>
                  <w:r>
                    <w:rPr>
                      <w:rFonts w:hint="default"/>
                      <w:color w:val="auto"/>
                      <w:sz w:val="21"/>
                      <w:szCs w:val="21"/>
                      <w:highlight w:val="none"/>
                      <w:lang w:val="en-US" w:eastAsia="zh-CN"/>
                    </w:rPr>
                    <w:t>运行</w:t>
                  </w:r>
                </w:p>
                <w:p>
                  <w:pPr>
                    <w:pStyle w:val="182"/>
                    <w:keepNext w:val="0"/>
                    <w:keepLines w:val="0"/>
                    <w:pageBreakBefore w:val="0"/>
                    <w:widowControl/>
                    <w:kinsoku/>
                    <w:wordWrap/>
                    <w:topLinePunct w:val="0"/>
                    <w:bidi w:val="0"/>
                    <w:spacing w:line="240" w:lineRule="auto"/>
                    <w:ind w:right="0"/>
                    <w:rPr>
                      <w:rFonts w:hint="default"/>
                      <w:color w:val="auto"/>
                      <w:sz w:val="21"/>
                      <w:szCs w:val="21"/>
                      <w:highlight w:val="none"/>
                      <w:lang w:eastAsia="zh-CN"/>
                    </w:rPr>
                  </w:pPr>
                  <w:r>
                    <w:rPr>
                      <w:rFonts w:hint="default"/>
                      <w:color w:val="auto"/>
                      <w:sz w:val="21"/>
                      <w:szCs w:val="21"/>
                      <w:highlight w:val="none"/>
                      <w:lang w:val="en-US" w:eastAsia="zh-CN"/>
                    </w:rPr>
                    <w:t>时段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jc w:val="center"/>
              </w:trPr>
              <w:tc>
                <w:tcPr>
                  <w:tcW w:w="560" w:type="dxa"/>
                  <w:vMerge w:val="continue"/>
                  <w:tcBorders>
                    <w:tl2br w:val="nil"/>
                    <w:tr2bl w:val="nil"/>
                  </w:tcBorders>
                  <w:noWrap w:val="0"/>
                  <w:vAlign w:val="center"/>
                </w:tcPr>
                <w:p>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p>
              </w:tc>
              <w:tc>
                <w:tcPr>
                  <w:tcW w:w="1686" w:type="dxa"/>
                  <w:vMerge w:val="continue"/>
                  <w:tcBorders>
                    <w:tl2br w:val="nil"/>
                    <w:tr2bl w:val="nil"/>
                  </w:tcBorders>
                  <w:noWrap w:val="0"/>
                  <w:vAlign w:val="center"/>
                </w:tcPr>
                <w:p>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p>
              </w:tc>
              <w:tc>
                <w:tcPr>
                  <w:tcW w:w="830" w:type="dxa"/>
                  <w:vMerge w:val="continue"/>
                  <w:tcBorders>
                    <w:tl2br w:val="nil"/>
                    <w:tr2bl w:val="nil"/>
                  </w:tcBorders>
                  <w:noWrap w:val="0"/>
                  <w:vAlign w:val="center"/>
                </w:tcPr>
                <w:p>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p>
              </w:tc>
              <w:tc>
                <w:tcPr>
                  <w:tcW w:w="721" w:type="dxa"/>
                  <w:tcBorders>
                    <w:tl2br w:val="nil"/>
                    <w:tr2bl w:val="nil"/>
                  </w:tcBorders>
                  <w:noWrap w:val="0"/>
                  <w:vAlign w:val="center"/>
                </w:tcPr>
                <w:p>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r>
                    <w:rPr>
                      <w:rFonts w:hint="default" w:ascii="Times New Roman" w:hAnsi="Times New Roman" w:cs="Times New Roman"/>
                      <w:color w:val="auto"/>
                      <w:sz w:val="21"/>
                      <w:szCs w:val="21"/>
                      <w:highlight w:val="none"/>
                      <w:lang w:val="en-US" w:eastAsia="zh-CN"/>
                    </w:rPr>
                    <w:t>X</w:t>
                  </w:r>
                </w:p>
              </w:tc>
              <w:tc>
                <w:tcPr>
                  <w:tcW w:w="695" w:type="dxa"/>
                  <w:tcBorders>
                    <w:tl2br w:val="nil"/>
                    <w:tr2bl w:val="nil"/>
                  </w:tcBorders>
                  <w:noWrap w:val="0"/>
                  <w:vAlign w:val="center"/>
                </w:tcPr>
                <w:p>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r>
                    <w:rPr>
                      <w:rFonts w:hint="default" w:ascii="Times New Roman" w:hAnsi="Times New Roman" w:cs="Times New Roman"/>
                      <w:color w:val="auto"/>
                      <w:sz w:val="21"/>
                      <w:szCs w:val="21"/>
                      <w:highlight w:val="none"/>
                      <w:lang w:val="en-US" w:eastAsia="zh-CN"/>
                    </w:rPr>
                    <w:t>Y</w:t>
                  </w:r>
                </w:p>
              </w:tc>
              <w:tc>
                <w:tcPr>
                  <w:tcW w:w="686" w:type="dxa"/>
                  <w:tcBorders>
                    <w:tl2br w:val="nil"/>
                    <w:tr2bl w:val="nil"/>
                  </w:tcBorders>
                  <w:noWrap w:val="0"/>
                  <w:vAlign w:val="center"/>
                </w:tcPr>
                <w:p>
                  <w:pPr>
                    <w:pStyle w:val="182"/>
                    <w:keepNext w:val="0"/>
                    <w:keepLines w:val="0"/>
                    <w:pageBreakBefore w:val="0"/>
                    <w:widowControl/>
                    <w:kinsoku/>
                    <w:wordWrap/>
                    <w:topLinePunct w:val="0"/>
                    <w:bidi w:val="0"/>
                    <w:spacing w:line="240" w:lineRule="auto"/>
                    <w:ind w:right="0"/>
                    <w:rPr>
                      <w:rFonts w:hint="default"/>
                      <w:color w:val="auto"/>
                      <w:sz w:val="21"/>
                      <w:szCs w:val="21"/>
                      <w:highlight w:val="none"/>
                    </w:rPr>
                  </w:pPr>
                  <w:r>
                    <w:rPr>
                      <w:rFonts w:hint="default" w:ascii="Times New Roman" w:hAnsi="Times New Roman" w:cs="Times New Roman"/>
                      <w:color w:val="auto"/>
                      <w:sz w:val="21"/>
                      <w:szCs w:val="21"/>
                      <w:highlight w:val="none"/>
                      <w:lang w:val="en-US" w:eastAsia="zh-CN"/>
                    </w:rPr>
                    <w:t>Z</w:t>
                  </w:r>
                </w:p>
              </w:tc>
              <w:tc>
                <w:tcPr>
                  <w:tcW w:w="1170" w:type="dxa"/>
                  <w:vMerge w:val="continue"/>
                  <w:tcBorders>
                    <w:tl2br w:val="nil"/>
                    <w:tr2bl w:val="nil"/>
                  </w:tcBorders>
                  <w:noWrap w:val="0"/>
                  <w:vAlign w:val="center"/>
                </w:tcPr>
                <w:p>
                  <w:pPr>
                    <w:pStyle w:val="182"/>
                    <w:keepNext w:val="0"/>
                    <w:keepLines w:val="0"/>
                    <w:pageBreakBefore w:val="0"/>
                    <w:widowControl/>
                    <w:kinsoku/>
                    <w:wordWrap/>
                    <w:topLinePunct w:val="0"/>
                    <w:bidi w:val="0"/>
                    <w:spacing w:line="240" w:lineRule="auto"/>
                    <w:ind w:right="0"/>
                    <w:rPr>
                      <w:rFonts w:hint="default"/>
                      <w:color w:val="auto"/>
                      <w:sz w:val="21"/>
                      <w:szCs w:val="21"/>
                      <w:highlight w:val="none"/>
                      <w:lang w:eastAsia="zh-CN"/>
                    </w:rPr>
                  </w:pPr>
                </w:p>
              </w:tc>
              <w:tc>
                <w:tcPr>
                  <w:tcW w:w="1746" w:type="dxa"/>
                  <w:vMerge w:val="continue"/>
                  <w:tcBorders>
                    <w:tl2br w:val="nil"/>
                    <w:tr2bl w:val="nil"/>
                  </w:tcBorders>
                  <w:noWrap w:val="0"/>
                  <w:vAlign w:val="center"/>
                </w:tcPr>
                <w:p>
                  <w:pPr>
                    <w:pStyle w:val="109"/>
                    <w:keepNext w:val="0"/>
                    <w:keepLines w:val="0"/>
                    <w:pageBreakBefore w:val="0"/>
                    <w:widowControl/>
                    <w:kinsoku/>
                    <w:wordWrap/>
                    <w:topLinePunct w:val="0"/>
                    <w:bidi w:val="0"/>
                    <w:spacing w:before="0" w:after="0" w:line="240" w:lineRule="auto"/>
                    <w:ind w:right="0"/>
                    <w:rPr>
                      <w:rFonts w:hint="default" w:ascii="Times New Roman" w:hAnsi="Times New Roman" w:eastAsia="宋体" w:cs="Times New Roman"/>
                      <w:b w:val="0"/>
                      <w:bCs/>
                      <w:color w:val="auto"/>
                      <w:sz w:val="21"/>
                      <w:szCs w:val="21"/>
                      <w:highlight w:val="none"/>
                    </w:rPr>
                  </w:pPr>
                </w:p>
              </w:tc>
              <w:tc>
                <w:tcPr>
                  <w:tcW w:w="732" w:type="dxa"/>
                  <w:vMerge w:val="continue"/>
                  <w:tcBorders>
                    <w:tl2br w:val="nil"/>
                    <w:tr2bl w:val="nil"/>
                  </w:tcBorders>
                  <w:noWrap w:val="0"/>
                  <w:vAlign w:val="center"/>
                </w:tcPr>
                <w:p>
                  <w:pPr>
                    <w:pStyle w:val="109"/>
                    <w:keepNext w:val="0"/>
                    <w:keepLines w:val="0"/>
                    <w:pageBreakBefore w:val="0"/>
                    <w:widowControl/>
                    <w:kinsoku/>
                    <w:wordWrap/>
                    <w:topLinePunct w:val="0"/>
                    <w:bidi w:val="0"/>
                    <w:spacing w:before="0" w:after="0" w:line="240" w:lineRule="auto"/>
                    <w:ind w:right="0"/>
                    <w:rPr>
                      <w:rFonts w:hint="default" w:ascii="Times New Roman" w:hAnsi="Times New Roman" w:eastAsia="宋体" w:cs="Times New Roman"/>
                      <w:b w:val="0"/>
                      <w:bCs/>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560"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686"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rPr>
                  </w:pPr>
                  <w:r>
                    <w:rPr>
                      <w:rFonts w:hint="eastAsia" w:cs="Times New Roman"/>
                      <w:b w:val="0"/>
                      <w:bCs/>
                      <w:color w:val="auto"/>
                      <w:sz w:val="21"/>
                      <w:szCs w:val="21"/>
                      <w:highlight w:val="none"/>
                      <w:lang w:val="en-US" w:eastAsia="zh-CN"/>
                    </w:rPr>
                    <w:t>配料</w:t>
                  </w:r>
                  <w:r>
                    <w:rPr>
                      <w:rFonts w:hint="default" w:ascii="Times New Roman" w:hAnsi="Times New Roman" w:eastAsia="宋体" w:cs="Times New Roman"/>
                      <w:b w:val="0"/>
                      <w:bCs/>
                      <w:color w:val="auto"/>
                      <w:sz w:val="21"/>
                      <w:szCs w:val="21"/>
                      <w:highlight w:val="none"/>
                      <w:lang w:val="en-US" w:eastAsia="zh-CN"/>
                    </w:rPr>
                    <w:t>机</w:t>
                  </w:r>
                </w:p>
              </w:tc>
              <w:tc>
                <w:tcPr>
                  <w:tcW w:w="830"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w:t>
                  </w:r>
                </w:p>
              </w:tc>
              <w:tc>
                <w:tcPr>
                  <w:tcW w:w="721"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46</w:t>
                  </w:r>
                </w:p>
              </w:tc>
              <w:tc>
                <w:tcPr>
                  <w:tcW w:w="695"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117</w:t>
                  </w:r>
                </w:p>
              </w:tc>
              <w:tc>
                <w:tcPr>
                  <w:tcW w:w="686"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5</w:t>
                  </w:r>
                </w:p>
              </w:tc>
              <w:tc>
                <w:tcPr>
                  <w:tcW w:w="1170"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90</w:t>
                  </w:r>
                </w:p>
              </w:tc>
              <w:tc>
                <w:tcPr>
                  <w:tcW w:w="1746"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baseline"/>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置于</w:t>
                  </w:r>
                  <w:r>
                    <w:rPr>
                      <w:rFonts w:hint="eastAsia" w:ascii="Times New Roman" w:hAnsi="Times New Roman" w:eastAsia="宋体" w:cs="Times New Roman"/>
                      <w:b w:val="0"/>
                      <w:bCs/>
                      <w:color w:val="auto"/>
                      <w:sz w:val="21"/>
                      <w:szCs w:val="21"/>
                      <w:highlight w:val="none"/>
                      <w:lang w:eastAsia="zh-CN"/>
                    </w:rPr>
                    <w:t>罩棚内，且合理布置</w:t>
                  </w:r>
                </w:p>
              </w:tc>
              <w:tc>
                <w:tcPr>
                  <w:tcW w:w="732" w:type="dxa"/>
                  <w:tcBorders>
                    <w:tl2br w:val="nil"/>
                    <w:tr2bl w:val="nil"/>
                  </w:tcBorders>
                  <w:noWrap w:val="0"/>
                  <w:vAlign w:val="center"/>
                </w:tcPr>
                <w:p>
                  <w:pPr>
                    <w:jc w:val="center"/>
                    <w:rPr>
                      <w:rFonts w:hint="eastAsia" w:ascii="Times New Roman" w:hAnsi="Times New Roman" w:eastAsia="宋体" w:cs="Times New Roman"/>
                      <w:b w:val="0"/>
                      <w:bCs/>
                      <w:color w:val="auto"/>
                      <w:sz w:val="21"/>
                      <w:szCs w:val="21"/>
                      <w:highlight w:val="none"/>
                      <w:lang w:eastAsia="zh-CN"/>
                    </w:rPr>
                  </w:pPr>
                  <w:r>
                    <w:rPr>
                      <w:color w:val="auto"/>
                      <w:szCs w:val="21"/>
                      <w:highlight w:val="none"/>
                    </w:rPr>
                    <w:t>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560"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w:t>
                  </w:r>
                </w:p>
              </w:tc>
              <w:tc>
                <w:tcPr>
                  <w:tcW w:w="1686"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#水泥</w:t>
                  </w:r>
                  <w:r>
                    <w:rPr>
                      <w:rFonts w:hint="default" w:ascii="Times New Roman" w:hAnsi="Times New Roman" w:eastAsia="宋体" w:cs="Times New Roman"/>
                      <w:b w:val="0"/>
                      <w:bCs/>
                      <w:color w:val="auto"/>
                      <w:sz w:val="21"/>
                      <w:szCs w:val="21"/>
                      <w:highlight w:val="none"/>
                      <w:lang w:eastAsia="zh-CN"/>
                    </w:rPr>
                    <w:t>筒仓</w:t>
                  </w:r>
                  <w:r>
                    <w:rPr>
                      <w:rFonts w:hint="eastAsia" w:cs="Times New Roman"/>
                      <w:b w:val="0"/>
                      <w:bCs/>
                      <w:color w:val="auto"/>
                      <w:sz w:val="21"/>
                      <w:szCs w:val="21"/>
                      <w:highlight w:val="none"/>
                      <w:lang w:val="en-US" w:eastAsia="zh-CN"/>
                    </w:rPr>
                    <w:t>集气</w:t>
                  </w:r>
                  <w:r>
                    <w:rPr>
                      <w:rFonts w:hint="default" w:ascii="Times New Roman" w:hAnsi="Times New Roman" w:eastAsia="宋体" w:cs="Times New Roman"/>
                      <w:b w:val="0"/>
                      <w:bCs/>
                      <w:color w:val="auto"/>
                      <w:sz w:val="21"/>
                      <w:szCs w:val="21"/>
                      <w:highlight w:val="none"/>
                      <w:lang w:eastAsia="zh-CN"/>
                    </w:rPr>
                    <w:t>风机</w:t>
                  </w:r>
                </w:p>
              </w:tc>
              <w:tc>
                <w:tcPr>
                  <w:tcW w:w="830"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baseline"/>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eastAsia="zh-CN"/>
                    </w:rPr>
                    <w:t>—</w:t>
                  </w:r>
                </w:p>
              </w:tc>
              <w:tc>
                <w:tcPr>
                  <w:tcW w:w="721"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45</w:t>
                  </w:r>
                </w:p>
              </w:tc>
              <w:tc>
                <w:tcPr>
                  <w:tcW w:w="695"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94</w:t>
                  </w:r>
                </w:p>
              </w:tc>
              <w:tc>
                <w:tcPr>
                  <w:tcW w:w="686"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11</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5</w:t>
                  </w:r>
                </w:p>
              </w:tc>
              <w:tc>
                <w:tcPr>
                  <w:tcW w:w="1170"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80</w:t>
                  </w:r>
                </w:p>
              </w:tc>
              <w:tc>
                <w:tcPr>
                  <w:tcW w:w="1746"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低噪声设备、隔声罩</w:t>
                  </w:r>
                  <w:r>
                    <w:rPr>
                      <w:rFonts w:hint="eastAsia" w:ascii="Times New Roman" w:hAnsi="Times New Roman" w:eastAsia="宋体" w:cs="Times New Roman"/>
                      <w:b w:val="0"/>
                      <w:bCs/>
                      <w:color w:val="auto"/>
                      <w:sz w:val="21"/>
                      <w:szCs w:val="21"/>
                      <w:highlight w:val="none"/>
                      <w:lang w:eastAsia="zh-CN"/>
                    </w:rPr>
                    <w:t>、减震垫</w:t>
                  </w:r>
                </w:p>
              </w:tc>
              <w:tc>
                <w:tcPr>
                  <w:tcW w:w="732" w:type="dxa"/>
                  <w:tcBorders>
                    <w:tl2br w:val="nil"/>
                    <w:tr2bl w:val="nil"/>
                  </w:tcBorders>
                  <w:noWrap w:val="0"/>
                  <w:vAlign w:val="center"/>
                </w:tcPr>
                <w:p>
                  <w:pPr>
                    <w:jc w:val="center"/>
                    <w:rPr>
                      <w:rFonts w:hint="default" w:ascii="Times New Roman" w:hAnsi="Times New Roman" w:eastAsia="宋体" w:cs="Times New Roman"/>
                      <w:b w:val="0"/>
                      <w:bCs/>
                      <w:color w:val="auto"/>
                      <w:sz w:val="21"/>
                      <w:szCs w:val="21"/>
                      <w:highlight w:val="none"/>
                      <w:lang w:val="en-US" w:eastAsia="zh-CN"/>
                    </w:rPr>
                  </w:pPr>
                  <w:r>
                    <w:rPr>
                      <w:color w:val="auto"/>
                      <w:szCs w:val="21"/>
                      <w:highlight w:val="none"/>
                    </w:rPr>
                    <w:t>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56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3</w:t>
                  </w:r>
                </w:p>
              </w:tc>
              <w:tc>
                <w:tcPr>
                  <w:tcW w:w="168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粉煤灰</w:t>
                  </w:r>
                  <w:r>
                    <w:rPr>
                      <w:rFonts w:hint="default" w:ascii="Times New Roman" w:hAnsi="Times New Roman" w:eastAsia="宋体" w:cs="Times New Roman"/>
                      <w:b w:val="0"/>
                      <w:bCs/>
                      <w:color w:val="auto"/>
                      <w:sz w:val="21"/>
                      <w:szCs w:val="21"/>
                      <w:highlight w:val="none"/>
                      <w:lang w:val="en-US" w:eastAsia="zh-CN"/>
                    </w:rPr>
                    <w:t>筒仓</w:t>
                  </w:r>
                  <w:r>
                    <w:rPr>
                      <w:rFonts w:hint="eastAsia" w:cs="Times New Roman"/>
                      <w:b w:val="0"/>
                      <w:bCs/>
                      <w:color w:val="auto"/>
                      <w:sz w:val="21"/>
                      <w:szCs w:val="21"/>
                      <w:highlight w:val="none"/>
                      <w:lang w:val="en-US" w:eastAsia="zh-CN"/>
                    </w:rPr>
                    <w:t>集气</w:t>
                  </w:r>
                  <w:r>
                    <w:rPr>
                      <w:rFonts w:hint="default" w:ascii="Times New Roman" w:hAnsi="Times New Roman" w:eastAsia="宋体" w:cs="Times New Roman"/>
                      <w:b w:val="0"/>
                      <w:bCs/>
                      <w:color w:val="auto"/>
                      <w:sz w:val="21"/>
                      <w:szCs w:val="21"/>
                      <w:highlight w:val="none"/>
                      <w:lang w:val="en-US" w:eastAsia="zh-CN"/>
                    </w:rPr>
                    <w:t>风机</w:t>
                  </w:r>
                </w:p>
              </w:tc>
              <w:tc>
                <w:tcPr>
                  <w:tcW w:w="83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w:t>
                  </w:r>
                </w:p>
              </w:tc>
              <w:tc>
                <w:tcPr>
                  <w:tcW w:w="721"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45</w:t>
                  </w:r>
                </w:p>
              </w:tc>
              <w:tc>
                <w:tcPr>
                  <w:tcW w:w="695"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kern w:val="0"/>
                      <w:sz w:val="21"/>
                      <w:szCs w:val="21"/>
                      <w:highlight w:val="none"/>
                      <w:lang w:val="en-US" w:eastAsia="zh-CN" w:bidi="ar-SA"/>
                    </w:rPr>
                    <w:t>103</w:t>
                  </w:r>
                </w:p>
              </w:tc>
              <w:tc>
                <w:tcPr>
                  <w:tcW w:w="68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11</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5</w:t>
                  </w:r>
                </w:p>
              </w:tc>
              <w:tc>
                <w:tcPr>
                  <w:tcW w:w="117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80</w:t>
                  </w:r>
                </w:p>
              </w:tc>
              <w:tc>
                <w:tcPr>
                  <w:tcW w:w="174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低噪声设备、隔声罩</w:t>
                  </w:r>
                  <w:r>
                    <w:rPr>
                      <w:rFonts w:hint="eastAsia" w:ascii="Times New Roman" w:hAnsi="Times New Roman" w:eastAsia="宋体" w:cs="Times New Roman"/>
                      <w:b w:val="0"/>
                      <w:bCs/>
                      <w:color w:val="auto"/>
                      <w:sz w:val="21"/>
                      <w:szCs w:val="21"/>
                      <w:highlight w:val="none"/>
                      <w:lang w:eastAsia="zh-CN"/>
                    </w:rPr>
                    <w:t>、减震垫</w:t>
                  </w:r>
                </w:p>
              </w:tc>
              <w:tc>
                <w:tcPr>
                  <w:tcW w:w="732" w:type="dxa"/>
                  <w:tcBorders>
                    <w:tl2br w:val="nil"/>
                    <w:tr2bl w:val="nil"/>
                  </w:tcBorders>
                  <w:shd w:val="clear" w:color="auto" w:fill="auto"/>
                  <w:noWrap w:val="0"/>
                  <w:vAlign w:val="center"/>
                </w:tcPr>
                <w:p>
                  <w:pPr>
                    <w:jc w:val="center"/>
                    <w:rPr>
                      <w:rFonts w:hint="default" w:ascii="Times New Roman" w:hAnsi="Times New Roman" w:eastAsia="宋体" w:cs="Times New Roman"/>
                      <w:b w:val="0"/>
                      <w:bCs/>
                      <w:color w:val="auto"/>
                      <w:kern w:val="0"/>
                      <w:sz w:val="21"/>
                      <w:szCs w:val="21"/>
                      <w:highlight w:val="none"/>
                      <w:lang w:val="en-US" w:eastAsia="zh-CN" w:bidi="ar-SA"/>
                    </w:rPr>
                  </w:pPr>
                  <w:r>
                    <w:rPr>
                      <w:color w:val="auto"/>
                      <w:szCs w:val="21"/>
                      <w:highlight w:val="none"/>
                    </w:rPr>
                    <w:t>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56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kern w:val="0"/>
                      <w:sz w:val="21"/>
                      <w:szCs w:val="21"/>
                      <w:highlight w:val="none"/>
                      <w:lang w:val="en-US" w:eastAsia="zh-CN" w:bidi="ar-SA"/>
                    </w:rPr>
                    <w:t>4</w:t>
                  </w:r>
                </w:p>
              </w:tc>
              <w:tc>
                <w:tcPr>
                  <w:tcW w:w="168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皮带运输机</w:t>
                  </w:r>
                </w:p>
              </w:tc>
              <w:tc>
                <w:tcPr>
                  <w:tcW w:w="83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w:t>
                  </w:r>
                </w:p>
              </w:tc>
              <w:tc>
                <w:tcPr>
                  <w:tcW w:w="721"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41</w:t>
                  </w:r>
                </w:p>
              </w:tc>
              <w:tc>
                <w:tcPr>
                  <w:tcW w:w="695"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112</w:t>
                  </w:r>
                </w:p>
              </w:tc>
              <w:tc>
                <w:tcPr>
                  <w:tcW w:w="68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4</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0</w:t>
                  </w:r>
                </w:p>
              </w:tc>
              <w:tc>
                <w:tcPr>
                  <w:tcW w:w="117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70</w:t>
                  </w:r>
                </w:p>
              </w:tc>
              <w:tc>
                <w:tcPr>
                  <w:tcW w:w="174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密闭</w:t>
                  </w:r>
                  <w:r>
                    <w:rPr>
                      <w:rFonts w:hint="eastAsia" w:ascii="Times New Roman" w:hAnsi="Times New Roman" w:eastAsia="宋体" w:cs="Times New Roman"/>
                      <w:b w:val="0"/>
                      <w:bCs/>
                      <w:color w:val="auto"/>
                      <w:sz w:val="21"/>
                      <w:szCs w:val="21"/>
                      <w:highlight w:val="none"/>
                      <w:lang w:eastAsia="zh-CN"/>
                    </w:rPr>
                    <w:t>、减震垫</w:t>
                  </w:r>
                </w:p>
              </w:tc>
              <w:tc>
                <w:tcPr>
                  <w:tcW w:w="732" w:type="dxa"/>
                  <w:tcBorders>
                    <w:tl2br w:val="nil"/>
                    <w:tr2bl w:val="nil"/>
                  </w:tcBorders>
                  <w:shd w:val="clear" w:color="auto" w:fill="auto"/>
                  <w:noWrap w:val="0"/>
                  <w:vAlign w:val="center"/>
                </w:tcPr>
                <w:p>
                  <w:pPr>
                    <w:jc w:val="center"/>
                    <w:rPr>
                      <w:rFonts w:hint="default" w:ascii="Times New Roman" w:hAnsi="Times New Roman" w:eastAsia="宋体" w:cs="Times New Roman"/>
                      <w:b w:val="0"/>
                      <w:bCs/>
                      <w:color w:val="auto"/>
                      <w:kern w:val="0"/>
                      <w:sz w:val="21"/>
                      <w:szCs w:val="21"/>
                      <w:highlight w:val="none"/>
                      <w:lang w:val="en-US" w:eastAsia="zh-CN" w:bidi="ar-SA"/>
                    </w:rPr>
                  </w:pPr>
                  <w:r>
                    <w:rPr>
                      <w:color w:val="auto"/>
                      <w:szCs w:val="21"/>
                      <w:highlight w:val="none"/>
                    </w:rPr>
                    <w:t>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56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kern w:val="0"/>
                      <w:sz w:val="21"/>
                      <w:szCs w:val="21"/>
                      <w:highlight w:val="none"/>
                      <w:lang w:val="en-US" w:eastAsia="zh-CN" w:bidi="ar-SA"/>
                    </w:rPr>
                    <w:t>5</w:t>
                  </w:r>
                </w:p>
              </w:tc>
              <w:tc>
                <w:tcPr>
                  <w:tcW w:w="168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cs="Times New Roman"/>
                      <w:b w:val="0"/>
                      <w:bCs/>
                      <w:color w:val="auto"/>
                      <w:kern w:val="0"/>
                      <w:sz w:val="21"/>
                      <w:szCs w:val="21"/>
                      <w:highlight w:val="none"/>
                      <w:lang w:val="en-US" w:eastAsia="zh-CN" w:bidi="ar-SA"/>
                    </w:rPr>
                    <w:t>螺旋输送机</w:t>
                  </w:r>
                </w:p>
              </w:tc>
              <w:tc>
                <w:tcPr>
                  <w:tcW w:w="83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w:t>
                  </w:r>
                </w:p>
              </w:tc>
              <w:tc>
                <w:tcPr>
                  <w:tcW w:w="721"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42</w:t>
                  </w:r>
                </w:p>
              </w:tc>
              <w:tc>
                <w:tcPr>
                  <w:tcW w:w="695"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99</w:t>
                  </w:r>
                </w:p>
              </w:tc>
              <w:tc>
                <w:tcPr>
                  <w:tcW w:w="68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4</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0</w:t>
                  </w:r>
                </w:p>
              </w:tc>
              <w:tc>
                <w:tcPr>
                  <w:tcW w:w="117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70</w:t>
                  </w:r>
                </w:p>
              </w:tc>
              <w:tc>
                <w:tcPr>
                  <w:tcW w:w="174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密闭</w:t>
                  </w:r>
                  <w:r>
                    <w:rPr>
                      <w:rFonts w:hint="eastAsia" w:ascii="Times New Roman" w:hAnsi="Times New Roman" w:eastAsia="宋体" w:cs="Times New Roman"/>
                      <w:b w:val="0"/>
                      <w:bCs/>
                      <w:color w:val="auto"/>
                      <w:sz w:val="21"/>
                      <w:szCs w:val="21"/>
                      <w:highlight w:val="none"/>
                      <w:lang w:eastAsia="zh-CN"/>
                    </w:rPr>
                    <w:t>、减震垫</w:t>
                  </w:r>
                </w:p>
              </w:tc>
              <w:tc>
                <w:tcPr>
                  <w:tcW w:w="732" w:type="dxa"/>
                  <w:tcBorders>
                    <w:tl2br w:val="nil"/>
                    <w:tr2bl w:val="nil"/>
                  </w:tcBorders>
                  <w:shd w:val="clear" w:color="auto" w:fill="auto"/>
                  <w:noWrap w:val="0"/>
                  <w:vAlign w:val="center"/>
                </w:tcPr>
                <w:p>
                  <w:pPr>
                    <w:jc w:val="center"/>
                    <w:rPr>
                      <w:rFonts w:hint="default" w:ascii="Times New Roman" w:hAnsi="Times New Roman" w:eastAsia="宋体" w:cs="Times New Roman"/>
                      <w:b w:val="0"/>
                      <w:bCs/>
                      <w:color w:val="auto"/>
                      <w:kern w:val="0"/>
                      <w:sz w:val="21"/>
                      <w:szCs w:val="21"/>
                      <w:highlight w:val="none"/>
                      <w:lang w:val="en-US" w:eastAsia="zh-CN" w:bidi="ar-SA"/>
                    </w:rPr>
                  </w:pPr>
                  <w:r>
                    <w:rPr>
                      <w:color w:val="auto"/>
                      <w:szCs w:val="21"/>
                      <w:highlight w:val="none"/>
                    </w:rPr>
                    <w:t>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560" w:type="dxa"/>
                  <w:tcBorders>
                    <w:tl2br w:val="nil"/>
                    <w:tr2bl w:val="nil"/>
                  </w:tcBorders>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cs="Times New Roman"/>
                      <w:b w:val="0"/>
                      <w:bCs/>
                      <w:color w:val="auto"/>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bidi="ar-SA"/>
                    </w:rPr>
                    <w:t>6</w:t>
                  </w:r>
                </w:p>
              </w:tc>
              <w:tc>
                <w:tcPr>
                  <w:tcW w:w="168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水泵</w:t>
                  </w:r>
                </w:p>
              </w:tc>
              <w:tc>
                <w:tcPr>
                  <w:tcW w:w="83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w:t>
                  </w:r>
                </w:p>
              </w:tc>
              <w:tc>
                <w:tcPr>
                  <w:tcW w:w="721"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8</w:t>
                  </w:r>
                </w:p>
              </w:tc>
              <w:tc>
                <w:tcPr>
                  <w:tcW w:w="695"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110</w:t>
                  </w:r>
                </w:p>
              </w:tc>
              <w:tc>
                <w:tcPr>
                  <w:tcW w:w="68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0</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7</w:t>
                  </w:r>
                </w:p>
              </w:tc>
              <w:tc>
                <w:tcPr>
                  <w:tcW w:w="117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85</w:t>
                  </w:r>
                </w:p>
              </w:tc>
              <w:tc>
                <w:tcPr>
                  <w:tcW w:w="174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低噪声设备、</w:t>
                  </w:r>
                  <w:r>
                    <w:rPr>
                      <w:rFonts w:hint="eastAsia" w:ascii="Times New Roman" w:hAnsi="Times New Roman" w:eastAsia="宋体" w:cs="Times New Roman"/>
                      <w:b w:val="0"/>
                      <w:bCs/>
                      <w:color w:val="auto"/>
                      <w:sz w:val="21"/>
                      <w:szCs w:val="21"/>
                      <w:highlight w:val="none"/>
                      <w:lang w:eastAsia="zh-CN"/>
                    </w:rPr>
                    <w:t>减震垫</w:t>
                  </w:r>
                </w:p>
              </w:tc>
              <w:tc>
                <w:tcPr>
                  <w:tcW w:w="732" w:type="dxa"/>
                  <w:tcBorders>
                    <w:tl2br w:val="nil"/>
                    <w:tr2bl w:val="nil"/>
                  </w:tcBorders>
                  <w:shd w:val="clear" w:color="auto" w:fill="auto"/>
                  <w:noWrap w:val="0"/>
                  <w:vAlign w:val="center"/>
                </w:tcPr>
                <w:p>
                  <w:pPr>
                    <w:jc w:val="center"/>
                    <w:rPr>
                      <w:rFonts w:hint="default" w:ascii="Times New Roman" w:hAnsi="Times New Roman" w:eastAsia="宋体" w:cs="Times New Roman"/>
                      <w:b w:val="0"/>
                      <w:bCs/>
                      <w:color w:val="auto"/>
                      <w:kern w:val="2"/>
                      <w:sz w:val="21"/>
                      <w:szCs w:val="21"/>
                      <w:highlight w:val="none"/>
                      <w:lang w:val="en-US" w:eastAsia="zh-CN" w:bidi="ar-SA"/>
                    </w:rPr>
                  </w:pPr>
                  <w:r>
                    <w:rPr>
                      <w:color w:val="auto"/>
                      <w:szCs w:val="21"/>
                      <w:highlight w:val="none"/>
                    </w:rPr>
                    <w:t>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56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7</w:t>
                  </w:r>
                </w:p>
              </w:tc>
              <w:tc>
                <w:tcPr>
                  <w:tcW w:w="168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铲车</w:t>
                  </w:r>
                </w:p>
              </w:tc>
              <w:tc>
                <w:tcPr>
                  <w:tcW w:w="83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w:t>
                  </w:r>
                </w:p>
              </w:tc>
              <w:tc>
                <w:tcPr>
                  <w:tcW w:w="721"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57</w:t>
                  </w:r>
                </w:p>
              </w:tc>
              <w:tc>
                <w:tcPr>
                  <w:tcW w:w="695"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135</w:t>
                  </w:r>
                </w:p>
              </w:tc>
              <w:tc>
                <w:tcPr>
                  <w:tcW w:w="68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2</w:t>
                  </w:r>
                </w:p>
              </w:tc>
              <w:tc>
                <w:tcPr>
                  <w:tcW w:w="117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85</w:t>
                  </w:r>
                </w:p>
              </w:tc>
              <w:tc>
                <w:tcPr>
                  <w:tcW w:w="174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低噪声设备</w:t>
                  </w:r>
                </w:p>
              </w:tc>
              <w:tc>
                <w:tcPr>
                  <w:tcW w:w="732" w:type="dxa"/>
                  <w:tcBorders>
                    <w:tl2br w:val="nil"/>
                    <w:tr2bl w:val="nil"/>
                  </w:tcBorders>
                  <w:shd w:val="clear" w:color="auto" w:fill="auto"/>
                  <w:noWrap w:val="0"/>
                  <w:vAlign w:val="center"/>
                </w:tcPr>
                <w:p>
                  <w:pPr>
                    <w:jc w:val="center"/>
                    <w:rPr>
                      <w:rFonts w:hint="default" w:ascii="Times New Roman" w:hAnsi="Times New Roman" w:eastAsia="宋体" w:cs="Times New Roman"/>
                      <w:b w:val="0"/>
                      <w:bCs/>
                      <w:color w:val="auto"/>
                      <w:kern w:val="2"/>
                      <w:sz w:val="21"/>
                      <w:szCs w:val="21"/>
                      <w:highlight w:val="none"/>
                      <w:lang w:val="en-US" w:eastAsia="zh-CN" w:bidi="ar-SA"/>
                    </w:rPr>
                  </w:pPr>
                  <w:r>
                    <w:rPr>
                      <w:color w:val="auto"/>
                      <w:szCs w:val="21"/>
                      <w:highlight w:val="none"/>
                    </w:rPr>
                    <w:t>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56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8</w:t>
                  </w:r>
                </w:p>
              </w:tc>
              <w:tc>
                <w:tcPr>
                  <w:tcW w:w="168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罐车</w:t>
                  </w:r>
                </w:p>
              </w:tc>
              <w:tc>
                <w:tcPr>
                  <w:tcW w:w="83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w:t>
                  </w:r>
                </w:p>
              </w:tc>
              <w:tc>
                <w:tcPr>
                  <w:tcW w:w="721"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19</w:t>
                  </w:r>
                </w:p>
              </w:tc>
              <w:tc>
                <w:tcPr>
                  <w:tcW w:w="695"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101</w:t>
                  </w:r>
                </w:p>
              </w:tc>
              <w:tc>
                <w:tcPr>
                  <w:tcW w:w="68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eastAsia"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2</w:t>
                  </w:r>
                </w:p>
              </w:tc>
              <w:tc>
                <w:tcPr>
                  <w:tcW w:w="1170"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85</w:t>
                  </w:r>
                </w:p>
              </w:tc>
              <w:tc>
                <w:tcPr>
                  <w:tcW w:w="1746" w:type="dxa"/>
                  <w:tcBorders>
                    <w:tl2br w:val="nil"/>
                    <w:tr2bl w:val="nil"/>
                  </w:tcBorders>
                  <w:shd w:val="clear" w:color="auto" w:fill="auto"/>
                  <w:noWrap w:val="0"/>
                  <w:vAlign w:val="center"/>
                </w:tcPr>
                <w:p>
                  <w:pPr>
                    <w:pStyle w:val="109"/>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textAlignment w:val="baseline"/>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低噪声设备</w:t>
                  </w:r>
                </w:p>
              </w:tc>
              <w:tc>
                <w:tcPr>
                  <w:tcW w:w="732" w:type="dxa"/>
                  <w:tcBorders>
                    <w:tl2br w:val="nil"/>
                    <w:tr2bl w:val="nil"/>
                  </w:tcBorders>
                  <w:shd w:val="clear" w:color="auto" w:fill="auto"/>
                  <w:noWrap w:val="0"/>
                  <w:vAlign w:val="center"/>
                </w:tcPr>
                <w:p>
                  <w:pPr>
                    <w:jc w:val="center"/>
                    <w:rPr>
                      <w:rFonts w:hint="default" w:ascii="Times New Roman" w:hAnsi="Times New Roman" w:eastAsia="宋体" w:cs="Times New Roman"/>
                      <w:b w:val="0"/>
                      <w:bCs/>
                      <w:color w:val="auto"/>
                      <w:kern w:val="2"/>
                      <w:sz w:val="21"/>
                      <w:szCs w:val="21"/>
                      <w:highlight w:val="none"/>
                      <w:lang w:val="en-US" w:eastAsia="zh-CN" w:bidi="ar-SA"/>
                    </w:rPr>
                  </w:pPr>
                  <w:r>
                    <w:rPr>
                      <w:color w:val="auto"/>
                      <w:szCs w:val="21"/>
                      <w:highlight w:val="none"/>
                    </w:rPr>
                    <w:t>昼</w:t>
                  </w:r>
                </w:p>
              </w:tc>
            </w:tr>
          </w:tbl>
          <w:p>
            <w:pPr>
              <w:pStyle w:val="181"/>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eastAsia"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注：</w:t>
            </w:r>
            <w:r>
              <w:rPr>
                <w:rFonts w:hint="eastAsia" w:ascii="Times New Roman" w:hAnsi="Times New Roman" w:cs="Times New Roman"/>
                <w:color w:val="auto"/>
                <w:sz w:val="21"/>
                <w:szCs w:val="21"/>
                <w:highlight w:val="none"/>
              </w:rPr>
              <w:t>以项目区域西南角为坐标（</w:t>
            </w: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rPr>
              <w:t>）点</w:t>
            </w:r>
            <w:r>
              <w:rPr>
                <w:rFonts w:hint="eastAsia" w:ascii="Times New Roman" w:hAnsi="Times New Roman" w:cs="Times New Roman"/>
                <w:color w:val="auto"/>
                <w:sz w:val="21"/>
                <w:szCs w:val="21"/>
                <w:highlight w:val="none"/>
                <w:lang w:eastAsia="zh-CN"/>
              </w:rPr>
              <w:t>。</w:t>
            </w:r>
          </w:p>
          <w:p>
            <w:pPr>
              <w:pStyle w:val="181"/>
              <w:keepNext w:val="0"/>
              <w:keepLines w:val="0"/>
              <w:pageBreakBefore w:val="0"/>
              <w:widowControl w:val="0"/>
              <w:kinsoku/>
              <w:wordWrap/>
              <w:overflowPunct/>
              <w:topLinePunct w:val="0"/>
              <w:autoSpaceDE/>
              <w:autoSpaceDN/>
              <w:bidi w:val="0"/>
              <w:adjustRightInd/>
              <w:snapToGrid/>
              <w:spacing w:before="157" w:beforeLines="50"/>
              <w:ind w:firstLine="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表</w:t>
            </w:r>
            <w:r>
              <w:rPr>
                <w:rFonts w:hint="default" w:ascii="Times New Roman" w:hAnsi="Times New Roman" w:cs="Times New Roman"/>
                <w:b/>
                <w:color w:val="auto"/>
                <w:sz w:val="24"/>
                <w:szCs w:val="24"/>
                <w:highlight w:val="none"/>
                <w:lang w:val="en-US" w:eastAsia="zh-CN"/>
              </w:rPr>
              <w:t>4</w:t>
            </w:r>
            <w:r>
              <w:rPr>
                <w:rFonts w:hint="eastAsia" w:cs="Times New Roman"/>
                <w:b/>
                <w:color w:val="auto"/>
                <w:sz w:val="24"/>
                <w:szCs w:val="24"/>
                <w:highlight w:val="none"/>
                <w:lang w:val="en-US" w:eastAsia="zh-CN"/>
              </w:rPr>
              <w:t>-</w:t>
            </w:r>
            <w:r>
              <w:rPr>
                <w:rFonts w:hint="default" w:ascii="Times New Roman" w:hAnsi="Times New Roman" w:cs="Times New Roman"/>
                <w:b/>
                <w:color w:val="auto"/>
                <w:sz w:val="24"/>
                <w:szCs w:val="24"/>
                <w:highlight w:val="none"/>
                <w:lang w:val="en-US" w:eastAsia="zh-CN"/>
              </w:rPr>
              <w:t>8</w:t>
            </w:r>
            <w:r>
              <w:rPr>
                <w:rFonts w:hint="default" w:ascii="Times New Roman" w:hAnsi="Times New Roman" w:eastAsia="宋体" w:cs="Times New Roman"/>
                <w:b/>
                <w:color w:val="auto"/>
                <w:sz w:val="24"/>
                <w:szCs w:val="24"/>
                <w:highlight w:val="none"/>
                <w:lang w:val="en-US" w:eastAsia="zh-CN"/>
              </w:rPr>
              <w:t xml:space="preserve">  本项目运营期噪声源强调查清单（室内声源）</w:t>
            </w:r>
          </w:p>
          <w:tbl>
            <w:tblPr>
              <w:tblStyle w:val="32"/>
              <w:tblW w:w="877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34"/>
              <w:gridCol w:w="627"/>
              <w:gridCol w:w="640"/>
              <w:gridCol w:w="884"/>
              <w:gridCol w:w="822"/>
              <w:gridCol w:w="488"/>
              <w:gridCol w:w="506"/>
              <w:gridCol w:w="564"/>
              <w:gridCol w:w="618"/>
              <w:gridCol w:w="675"/>
              <w:gridCol w:w="343"/>
              <w:gridCol w:w="864"/>
              <w:gridCol w:w="792"/>
              <w:gridCol w:w="61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804" w:hRule="atLeast"/>
                <w:jc w:val="center"/>
              </w:trPr>
              <w:tc>
                <w:tcPr>
                  <w:tcW w:w="334" w:type="dxa"/>
                  <w:vMerge w:val="restart"/>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序号</w:t>
                  </w:r>
                </w:p>
              </w:tc>
              <w:tc>
                <w:tcPr>
                  <w:tcW w:w="627" w:type="dxa"/>
                  <w:vMerge w:val="restart"/>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建筑物名称</w:t>
                  </w:r>
                </w:p>
              </w:tc>
              <w:tc>
                <w:tcPr>
                  <w:tcW w:w="640" w:type="dxa"/>
                  <w:vMerge w:val="restart"/>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声源名称</w:t>
                  </w:r>
                </w:p>
              </w:tc>
              <w:tc>
                <w:tcPr>
                  <w:tcW w:w="884" w:type="dxa"/>
                  <w:vMerge w:val="restart"/>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声源源强-声功率级/dB(A)</w:t>
                  </w:r>
                </w:p>
              </w:tc>
              <w:tc>
                <w:tcPr>
                  <w:tcW w:w="822" w:type="dxa"/>
                  <w:vMerge w:val="restart"/>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声源控制措施</w:t>
                  </w:r>
                </w:p>
              </w:tc>
              <w:tc>
                <w:tcPr>
                  <w:tcW w:w="1558" w:type="dxa"/>
                  <w:gridSpan w:val="3"/>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空间相对位置/m</w:t>
                  </w:r>
                </w:p>
              </w:tc>
              <w:tc>
                <w:tcPr>
                  <w:tcW w:w="618" w:type="dxa"/>
                  <w:vMerge w:val="restart"/>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距室内边界距离/m</w:t>
                  </w:r>
                </w:p>
              </w:tc>
              <w:tc>
                <w:tcPr>
                  <w:tcW w:w="675" w:type="dxa"/>
                  <w:vMerge w:val="restart"/>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室内边界声级/dB</w:t>
                  </w:r>
                </w:p>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(A)</w:t>
                  </w:r>
                </w:p>
              </w:tc>
              <w:tc>
                <w:tcPr>
                  <w:tcW w:w="343" w:type="dxa"/>
                  <w:vMerge w:val="restart"/>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运行</w:t>
                  </w:r>
                </w:p>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时段</w:t>
                  </w:r>
                </w:p>
              </w:tc>
              <w:tc>
                <w:tcPr>
                  <w:tcW w:w="864" w:type="dxa"/>
                  <w:vMerge w:val="restart"/>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建筑物插入损失/[dB(A)]</w:t>
                  </w:r>
                </w:p>
              </w:tc>
              <w:tc>
                <w:tcPr>
                  <w:tcW w:w="1409" w:type="dxa"/>
                  <w:gridSpan w:val="2"/>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建筑外噪声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891" w:hRule="atLeast"/>
                <w:jc w:val="center"/>
              </w:trPr>
              <w:tc>
                <w:tcPr>
                  <w:tcW w:w="334" w:type="dxa"/>
                  <w:vMerge w:val="continue"/>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627" w:type="dxa"/>
                  <w:vMerge w:val="continue"/>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640" w:type="dxa"/>
                  <w:vMerge w:val="continue"/>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884" w:type="dxa"/>
                  <w:vMerge w:val="continue"/>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822" w:type="dxa"/>
                  <w:vMerge w:val="continue"/>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488" w:type="dxa"/>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X</w:t>
                  </w:r>
                </w:p>
              </w:tc>
              <w:tc>
                <w:tcPr>
                  <w:tcW w:w="506" w:type="dxa"/>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Y</w:t>
                  </w:r>
                </w:p>
              </w:tc>
              <w:tc>
                <w:tcPr>
                  <w:tcW w:w="564" w:type="dxa"/>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Z</w:t>
                  </w:r>
                </w:p>
              </w:tc>
              <w:tc>
                <w:tcPr>
                  <w:tcW w:w="618" w:type="dxa"/>
                  <w:vMerge w:val="continue"/>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675" w:type="dxa"/>
                  <w:vMerge w:val="continue"/>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343" w:type="dxa"/>
                  <w:vMerge w:val="continue"/>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864" w:type="dxa"/>
                  <w:vMerge w:val="continue"/>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792" w:type="dxa"/>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声压级/dB(A)</w:t>
                  </w:r>
                </w:p>
              </w:tc>
              <w:tc>
                <w:tcPr>
                  <w:tcW w:w="617" w:type="dxa"/>
                  <w:tcBorders>
                    <w:tl2br w:val="nil"/>
                    <w:tr2bl w:val="nil"/>
                  </w:tcBorders>
                  <w:noWrap w:val="0"/>
                  <w:vAlign w:val="center"/>
                </w:tcPr>
                <w:p>
                  <w:pPr>
                    <w:pStyle w:val="182"/>
                    <w:keepNext w:val="0"/>
                    <w:keepLines w:val="0"/>
                    <w:pageBreakBefore w:val="0"/>
                    <w:widowControl/>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建筑物外距离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66" w:hRule="atLeast"/>
                <w:jc w:val="center"/>
              </w:trPr>
              <w:tc>
                <w:tcPr>
                  <w:tcW w:w="334" w:type="dxa"/>
                  <w:vMerge w:val="restart"/>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1</w:t>
                  </w:r>
                </w:p>
              </w:tc>
              <w:tc>
                <w:tcPr>
                  <w:tcW w:w="627" w:type="dxa"/>
                  <w:vMerge w:val="restart"/>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b w:val="0"/>
                      <w:bCs/>
                      <w:color w:val="auto"/>
                      <w:sz w:val="21"/>
                      <w:szCs w:val="21"/>
                      <w:highlight w:val="none"/>
                      <w:lang w:val="en-US" w:eastAsia="zh-CN"/>
                    </w:rPr>
                    <w:t>全密闭搅拌站</w:t>
                  </w:r>
                </w:p>
              </w:tc>
              <w:tc>
                <w:tcPr>
                  <w:tcW w:w="640"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搅拌机</w:t>
                  </w:r>
                </w:p>
              </w:tc>
              <w:tc>
                <w:tcPr>
                  <w:tcW w:w="884"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80</w:t>
                  </w:r>
                </w:p>
              </w:tc>
              <w:tc>
                <w:tcPr>
                  <w:tcW w:w="822" w:type="dxa"/>
                  <w:vMerge w:val="restart"/>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低噪声设备、减震垫、安置于室内</w:t>
                  </w:r>
                </w:p>
              </w:tc>
              <w:tc>
                <w:tcPr>
                  <w:tcW w:w="488"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r>
                    <w:rPr>
                      <w:rFonts w:hint="default" w:ascii="Times New Roman" w:hAnsi="Times New Roman" w:cs="Times New Roman"/>
                      <w:i w:val="0"/>
                      <w:iCs w:val="0"/>
                      <w:color w:val="auto"/>
                      <w:sz w:val="21"/>
                      <w:szCs w:val="21"/>
                      <w:highlight w:val="none"/>
                      <w:u w:val="none"/>
                      <w:lang w:val="en-US" w:eastAsia="zh-CN"/>
                    </w:rPr>
                    <w:t>32</w:t>
                  </w:r>
                </w:p>
              </w:tc>
              <w:tc>
                <w:tcPr>
                  <w:tcW w:w="506"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102</w:t>
                  </w:r>
                </w:p>
              </w:tc>
              <w:tc>
                <w:tcPr>
                  <w:tcW w:w="564"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10.0</w:t>
                  </w:r>
                </w:p>
              </w:tc>
              <w:tc>
                <w:tcPr>
                  <w:tcW w:w="618"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675" w:type="dxa"/>
                  <w:tcBorders>
                    <w:tl2br w:val="nil"/>
                    <w:tr2bl w:val="nil"/>
                  </w:tcBorders>
                  <w:shd w:val="clear" w:color="auto" w:fill="auto"/>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sz w:val="21"/>
                      <w:szCs w:val="21"/>
                      <w:highlight w:val="none"/>
                      <w:u w:val="none"/>
                      <w:lang w:val="en-US" w:eastAsia="zh-CN"/>
                    </w:rPr>
                    <w:t>80</w:t>
                  </w:r>
                </w:p>
              </w:tc>
              <w:tc>
                <w:tcPr>
                  <w:tcW w:w="343"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864"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25</w:t>
                  </w:r>
                </w:p>
              </w:tc>
              <w:tc>
                <w:tcPr>
                  <w:tcW w:w="79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55</w:t>
                  </w:r>
                </w:p>
              </w:tc>
              <w:tc>
                <w:tcPr>
                  <w:tcW w:w="617"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32" w:hRule="atLeast"/>
                <w:jc w:val="center"/>
              </w:trPr>
              <w:tc>
                <w:tcPr>
                  <w:tcW w:w="334"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p>
              </w:tc>
              <w:tc>
                <w:tcPr>
                  <w:tcW w:w="627"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p>
              </w:tc>
              <w:tc>
                <w:tcPr>
                  <w:tcW w:w="640"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风机</w:t>
                  </w:r>
                </w:p>
              </w:tc>
              <w:tc>
                <w:tcPr>
                  <w:tcW w:w="884"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70</w:t>
                  </w:r>
                </w:p>
              </w:tc>
              <w:tc>
                <w:tcPr>
                  <w:tcW w:w="822"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p>
              </w:tc>
              <w:tc>
                <w:tcPr>
                  <w:tcW w:w="488"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sz w:val="21"/>
                      <w:szCs w:val="21"/>
                      <w:highlight w:val="none"/>
                      <w:u w:val="none"/>
                      <w:lang w:val="en-US" w:eastAsia="zh-CN"/>
                    </w:rPr>
                    <w:t>-</w:t>
                  </w:r>
                  <w:r>
                    <w:rPr>
                      <w:rFonts w:hint="default" w:ascii="Times New Roman" w:hAnsi="Times New Roman" w:cs="Times New Roman"/>
                      <w:i w:val="0"/>
                      <w:iCs w:val="0"/>
                      <w:color w:val="auto"/>
                      <w:sz w:val="21"/>
                      <w:szCs w:val="21"/>
                      <w:highlight w:val="none"/>
                      <w:u w:val="none"/>
                      <w:lang w:val="en-US" w:eastAsia="zh-CN"/>
                    </w:rPr>
                    <w:t>31</w:t>
                  </w:r>
                </w:p>
              </w:tc>
              <w:tc>
                <w:tcPr>
                  <w:tcW w:w="506"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108</w:t>
                  </w:r>
                </w:p>
              </w:tc>
              <w:tc>
                <w:tcPr>
                  <w:tcW w:w="564"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10.5</w:t>
                  </w:r>
                </w:p>
              </w:tc>
              <w:tc>
                <w:tcPr>
                  <w:tcW w:w="618"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675" w:type="dxa"/>
                  <w:tcBorders>
                    <w:tl2br w:val="nil"/>
                    <w:tr2bl w:val="nil"/>
                  </w:tcBorders>
                  <w:shd w:val="clear" w:color="auto" w:fill="auto"/>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sz w:val="21"/>
                      <w:szCs w:val="21"/>
                      <w:highlight w:val="none"/>
                      <w:u w:val="none"/>
                      <w:lang w:val="en-US" w:eastAsia="zh-CN"/>
                    </w:rPr>
                    <w:t>70</w:t>
                  </w:r>
                </w:p>
              </w:tc>
              <w:tc>
                <w:tcPr>
                  <w:tcW w:w="343"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864"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25</w:t>
                  </w:r>
                </w:p>
              </w:tc>
              <w:tc>
                <w:tcPr>
                  <w:tcW w:w="79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45</w:t>
                  </w:r>
                </w:p>
              </w:tc>
              <w:tc>
                <w:tcPr>
                  <w:tcW w:w="617"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32" w:hRule="atLeast"/>
                <w:jc w:val="center"/>
              </w:trPr>
              <w:tc>
                <w:tcPr>
                  <w:tcW w:w="334"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p>
              </w:tc>
              <w:tc>
                <w:tcPr>
                  <w:tcW w:w="627"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p>
              </w:tc>
              <w:tc>
                <w:tcPr>
                  <w:tcW w:w="640"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空压机</w:t>
                  </w:r>
                </w:p>
              </w:tc>
              <w:tc>
                <w:tcPr>
                  <w:tcW w:w="884"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85</w:t>
                  </w:r>
                </w:p>
              </w:tc>
              <w:tc>
                <w:tcPr>
                  <w:tcW w:w="822"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p>
              </w:tc>
              <w:tc>
                <w:tcPr>
                  <w:tcW w:w="488"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r>
                    <w:rPr>
                      <w:rFonts w:hint="default" w:ascii="Times New Roman" w:hAnsi="Times New Roman" w:cs="Times New Roman"/>
                      <w:i w:val="0"/>
                      <w:iCs w:val="0"/>
                      <w:color w:val="auto"/>
                      <w:sz w:val="21"/>
                      <w:szCs w:val="21"/>
                      <w:highlight w:val="none"/>
                      <w:u w:val="none"/>
                      <w:lang w:val="en-US" w:eastAsia="zh-CN"/>
                    </w:rPr>
                    <w:t>35</w:t>
                  </w:r>
                </w:p>
              </w:tc>
              <w:tc>
                <w:tcPr>
                  <w:tcW w:w="506"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105</w:t>
                  </w:r>
                </w:p>
              </w:tc>
              <w:tc>
                <w:tcPr>
                  <w:tcW w:w="564"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1</w:t>
                  </w:r>
                  <w:r>
                    <w:rPr>
                      <w:rFonts w:hint="eastAsia" w:cs="Times New Roman"/>
                      <w:i w:val="0"/>
                      <w:iCs w:val="0"/>
                      <w:color w:val="auto"/>
                      <w:sz w:val="21"/>
                      <w:szCs w:val="21"/>
                      <w:highlight w:val="none"/>
                      <w:u w:val="none"/>
                      <w:lang w:val="en-US" w:eastAsia="zh-CN"/>
                    </w:rPr>
                    <w:t>.</w:t>
                  </w:r>
                  <w:r>
                    <w:rPr>
                      <w:rFonts w:hint="default" w:ascii="Times New Roman" w:hAnsi="Times New Roman" w:cs="Times New Roman"/>
                      <w:i w:val="0"/>
                      <w:iCs w:val="0"/>
                      <w:color w:val="auto"/>
                      <w:sz w:val="21"/>
                      <w:szCs w:val="21"/>
                      <w:highlight w:val="none"/>
                      <w:u w:val="none"/>
                      <w:lang w:val="en-US" w:eastAsia="zh-CN"/>
                    </w:rPr>
                    <w:t>5</w:t>
                  </w:r>
                </w:p>
              </w:tc>
              <w:tc>
                <w:tcPr>
                  <w:tcW w:w="618"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75" w:type="dxa"/>
                  <w:tcBorders>
                    <w:tl2br w:val="nil"/>
                    <w:tr2bl w:val="nil"/>
                  </w:tcBorders>
                  <w:shd w:val="clear" w:color="auto" w:fill="auto"/>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sz w:val="21"/>
                      <w:szCs w:val="21"/>
                      <w:highlight w:val="none"/>
                      <w:u w:val="none"/>
                      <w:lang w:val="en-US" w:eastAsia="zh-CN"/>
                    </w:rPr>
                    <w:t>85</w:t>
                  </w:r>
                </w:p>
              </w:tc>
              <w:tc>
                <w:tcPr>
                  <w:tcW w:w="343"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864"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25</w:t>
                  </w:r>
                </w:p>
              </w:tc>
              <w:tc>
                <w:tcPr>
                  <w:tcW w:w="792" w:type="dxa"/>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60</w:t>
                  </w:r>
                </w:p>
              </w:tc>
              <w:tc>
                <w:tcPr>
                  <w:tcW w:w="617" w:type="dxa"/>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1m</w:t>
                  </w:r>
                </w:p>
              </w:tc>
            </w:tr>
          </w:tbl>
          <w:p>
            <w:pPr>
              <w:pStyle w:val="181"/>
              <w:keepNext w:val="0"/>
              <w:keepLines w:val="0"/>
              <w:pageBreakBefore w:val="0"/>
              <w:widowControl w:val="0"/>
              <w:kinsoku/>
              <w:wordWrap/>
              <w:overflowPunct/>
              <w:topLinePunct w:val="0"/>
              <w:autoSpaceDE/>
              <w:autoSpaceDN/>
              <w:bidi w:val="0"/>
              <w:adjustRightInd/>
              <w:snapToGrid/>
              <w:spacing w:line="240" w:lineRule="auto"/>
              <w:ind w:firstLine="0"/>
              <w:jc w:val="both"/>
              <w:textAlignment w:val="auto"/>
              <w:rPr>
                <w:rFonts w:hint="eastAsia"/>
                <w:color w:val="auto"/>
                <w:sz w:val="24"/>
                <w:highlight w:val="none"/>
                <w:lang w:val="en-US" w:eastAsia="zh-CN"/>
              </w:rPr>
            </w:pPr>
            <w:r>
              <w:rPr>
                <w:rFonts w:hint="eastAsia" w:cs="Times New Roman"/>
                <w:b/>
                <w:color w:val="auto"/>
                <w:sz w:val="21"/>
                <w:szCs w:val="21"/>
                <w:highlight w:val="none"/>
                <w:lang w:val="en-US" w:eastAsia="zh-CN"/>
              </w:rPr>
              <w:t>注：</w:t>
            </w:r>
            <w:r>
              <w:rPr>
                <w:rFonts w:hint="eastAsia" w:ascii="Times New Roman" w:hAnsi="Times New Roman" w:cs="Times New Roman"/>
                <w:color w:val="auto"/>
                <w:sz w:val="21"/>
                <w:szCs w:val="21"/>
                <w:highlight w:val="none"/>
              </w:rPr>
              <w:t>以项目区域西南角为坐标（</w:t>
            </w: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rPr>
              <w:t>）点</w:t>
            </w:r>
            <w:r>
              <w:rPr>
                <w:rFonts w:hint="eastAsia" w:ascii="Times New Roman" w:hAnsi="Times New Roman"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default" w:ascii="Times New Roman" w:hAnsi="Times New Roman" w:cs="Times New Roman"/>
                <w:color w:val="auto"/>
                <w:sz w:val="24"/>
                <w:highlight w:val="none"/>
                <w:lang w:val="en-US" w:eastAsia="zh-CN"/>
              </w:rPr>
              <w:t>2</w:t>
            </w:r>
            <w:r>
              <w:rPr>
                <w:rFonts w:hint="eastAsia"/>
                <w:color w:val="auto"/>
                <w:sz w:val="24"/>
                <w:highlight w:val="none"/>
              </w:rPr>
              <w:t>、项目采取降噪措施</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本评价将针对其影响采取一定的降噪措施，具体如下：</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（1）降低噪声源，选用符合国家噪声标准规定的设备，在采购设备时优先选用低噪声设备；</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（2）做好设备间的隔声、吸声措施，采用隔声门、隔声窗、墙体墙面均采取吸声处理；</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rPr>
              <w:t>）在本项目投产运行后，企业应加强设备维护，确保项目运行中设备处于良好的运转状态，杜绝因设备不正常运转时产生的高噪声现象发生。</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val="en-US" w:eastAsia="zh-CN"/>
              </w:rPr>
              <w:t>）</w:t>
            </w:r>
            <w:r>
              <w:rPr>
                <w:rFonts w:hint="eastAsia"/>
                <w:color w:val="auto"/>
                <w:sz w:val="24"/>
                <w:highlight w:val="none"/>
              </w:rPr>
              <w:t>定期对设备进行检查、维修，保持设备最佳运行状态，减少噪声产生量；</w:t>
            </w:r>
          </w:p>
          <w:p>
            <w:pPr>
              <w:spacing w:line="360" w:lineRule="auto"/>
              <w:ind w:firstLine="480" w:firstLineChars="200"/>
              <w:rPr>
                <w:color w:val="auto"/>
                <w:sz w:val="24"/>
                <w:highlight w:val="none"/>
              </w:rPr>
            </w:pP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5</w:t>
            </w:r>
            <w:r>
              <w:rPr>
                <w:rFonts w:hint="eastAsia" w:ascii="Times New Roman" w:hAnsi="Times New Roman" w:eastAsia="宋体" w:cs="Times New Roman"/>
                <w:color w:val="auto"/>
                <w:kern w:val="0"/>
                <w:sz w:val="24"/>
                <w:highlight w:val="none"/>
                <w:lang w:val="en-US" w:eastAsia="zh-CN"/>
              </w:rPr>
              <w:t>）</w:t>
            </w:r>
            <w:r>
              <w:rPr>
                <w:rFonts w:hint="eastAsia"/>
                <w:color w:val="auto"/>
                <w:sz w:val="24"/>
                <w:highlight w:val="none"/>
              </w:rPr>
              <w:t>对设备进行日常维护，保障设备的正常运行，并且要求操作人员严格规范操作，防止因设备故障或者操作不当带来的额外噪声；</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6</w:t>
            </w:r>
            <w:r>
              <w:rPr>
                <w:rFonts w:hint="default" w:ascii="Times New Roman" w:hAnsi="Times New Roman" w:eastAsia="宋体" w:cs="Times New Roman"/>
                <w:color w:val="auto"/>
                <w:kern w:val="0"/>
                <w:sz w:val="24"/>
                <w:highlight w:val="none"/>
              </w:rPr>
              <w:t>）风机的安装应由专业人员完成，调教好风机的动平衡，减少震动噪声的产生；同时风机应采取减振降噪措施，如安装减震垫、风管采用柔性连接等，以减少噪声的产生。风机要及时维护和保养，确保其正常使用。</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）厂区内车辆限速行驶，禁止鸣笛。</w:t>
            </w:r>
          </w:p>
          <w:p>
            <w:pPr>
              <w:adjustRightInd w:val="0"/>
              <w:snapToGrid w:val="0"/>
              <w:spacing w:line="360" w:lineRule="auto"/>
              <w:ind w:firstLine="480" w:firstLineChars="200"/>
              <w:rPr>
                <w:rFonts w:hint="eastAsia"/>
                <w:color w:val="auto"/>
                <w:sz w:val="24"/>
                <w:highlight w:val="none"/>
                <w:lang w:val="en-US" w:eastAsia="zh-CN"/>
              </w:rPr>
            </w:pPr>
            <w:r>
              <w:rPr>
                <w:rFonts w:hint="default" w:ascii="Times New Roman" w:hAnsi="Times New Roman" w:cs="Times New Roman"/>
                <w:color w:val="auto"/>
                <w:sz w:val="24"/>
                <w:highlight w:val="none"/>
                <w:lang w:val="en-US" w:eastAsia="zh-CN"/>
              </w:rPr>
              <w:t>3</w:t>
            </w:r>
            <w:r>
              <w:rPr>
                <w:rFonts w:hint="eastAsia"/>
                <w:color w:val="auto"/>
                <w:sz w:val="24"/>
                <w:highlight w:val="none"/>
              </w:rPr>
              <w:t>、噪声影响预测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预测模式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 声环境》（HJ2.4-2021）的要求，本项目声环境影响预测模型采用导则中附录A（规范性附录）户外声传播的衰减和附录B（规范性附录）中“B.1工业噪声预测计算模型”。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某一室内声源靠近围护结构处产生的倍频带声压级</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28"/>
                <w:sz w:val="24"/>
                <w:szCs w:val="24"/>
                <w:highlight w:val="none"/>
              </w:rPr>
              <w:object>
                <v:shape id="_x0000_i1025" o:spt="75" type="#_x0000_t75" style="height:41.65pt;width:169.3pt;" o:ole="t" filled="f" o:preferrelative="t" stroked="f" coordsize="21600,21600">
                  <v:path/>
                  <v:fill on="f" focussize="0,0"/>
                  <v:stroke on="f"/>
                  <v:imagedata r:id="rId22" o:title=""/>
                  <o:lock v:ext="edit" aspectratio="t"/>
                  <w10:wrap type="none"/>
                  <w10:anchorlock/>
                </v:shape>
                <o:OLEObject Type="Embed" ProgID="Equation.3" ShapeID="_x0000_i1025" DrawAspect="Content" ObjectID="_1468075725" r:id="rId21">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vertAlign w:val="subscript"/>
                <w:lang w:val="en-US" w:eastAsia="zh-CN"/>
              </w:rPr>
              <w:t>p1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靠近开口处（窗户）室内某倍频带的声压级或A声级，dB；</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Lw</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点声源声功率级（A计权或倍频带），dB；</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Q—指向性因数，通常对无指向性声源，当声源放在房间中心时，Q=1，当放在一面墙的中心时，Q=2；当放在两面墙夹角处时，Q=4，当放在三面墙夹角处时，Q=8</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R—房间常数，R=Sα/(1−α)，S为房间内表面面积，m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，α为平均吸声系数；</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r—声源到靠近围护结构某点处的距离，m。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所有室内声源在围护结构处产生的i倍频带叠加声压级：</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4"/>
                <w:sz w:val="24"/>
                <w:szCs w:val="24"/>
                <w:highlight w:val="none"/>
              </w:rPr>
              <w:object>
                <v:shape id="_x0000_i1026" o:spt="75" type="#_x0000_t75" style="height:42.75pt;width:142.8pt;" o:ole="t" filled="f" o:preferrelative="t" stroked="f" coordsize="21600,21600">
                  <v:path/>
                  <v:fill on="f" focussize="0,0"/>
                  <v:stroke on="f"/>
                  <v:imagedata r:id="rId24" o:title=""/>
                  <o:lock v:ext="edit" aspectratio="t"/>
                  <w10:wrap type="none"/>
                  <w10:anchorlock/>
                </v:shape>
                <o:OLEObject Type="Embed" ProgID="Equation.3" ShapeID="_x0000_i1026" DrawAspect="Content" ObjectID="_1468075726" r:id="rId23">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p1i(T)</w:t>
            </w:r>
            <w:r>
              <w:rPr>
                <w:rFonts w:hint="default" w:ascii="Times New Roman" w:hAnsi="Times New Roman" w:eastAsia="宋体" w:cs="Times New Roman"/>
                <w:color w:val="auto"/>
                <w:sz w:val="24"/>
                <w:szCs w:val="24"/>
                <w:highlight w:val="none"/>
              </w:rPr>
              <w:t>—靠近围护结构处室内N个声源i倍频带的叠加声压级，dB；</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p1ij</w:t>
            </w:r>
            <w:r>
              <w:rPr>
                <w:rFonts w:hint="default" w:ascii="Times New Roman" w:hAnsi="Times New Roman" w:eastAsia="宋体" w:cs="Times New Roman"/>
                <w:color w:val="auto"/>
                <w:sz w:val="24"/>
                <w:szCs w:val="24"/>
                <w:highlight w:val="none"/>
              </w:rPr>
              <w:t>—室内j声源i倍频带的声压级，dB；</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N—室内声源总数。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无指向性点声源几何发散衰减的基本公式是：</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0"/>
                <w:sz w:val="24"/>
                <w:szCs w:val="24"/>
                <w:highlight w:val="none"/>
              </w:rPr>
              <w:object>
                <v:shape id="_x0000_i1027" o:spt="75" type="#_x0000_t75" style="height:37.05pt;width:130.9pt;" o:ole="t" filled="f" o:preferrelative="t" stroked="f" coordsize="21600,21600">
                  <v:path/>
                  <v:fill on="f" focussize="0,0"/>
                  <v:stroke on="f"/>
                  <v:imagedata r:id="rId26" o:title=""/>
                  <o:lock v:ext="edit" aspectratio="t"/>
                  <w10:wrap type="none"/>
                  <w10:anchorlock/>
                </v:shape>
                <o:OLEObject Type="Embed" ProgID="Equation.3" ShapeID="_x0000_i1027" DrawAspect="Content" ObjectID="_1468075727" r:id="rId25">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Lp(r)</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预测点处声压级，</w:t>
            </w:r>
            <w:r>
              <w:rPr>
                <w:rFonts w:hint="default" w:ascii="Times New Roman" w:hAnsi="Times New Roman" w:eastAsia="宋体" w:cs="Times New Roman"/>
                <w:color w:val="auto"/>
                <w:sz w:val="24"/>
                <w:szCs w:val="24"/>
                <w:highlight w:val="none"/>
              </w:rPr>
              <w:t>dB</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Lp(r0)—</w:t>
            </w:r>
            <w:r>
              <w:rPr>
                <w:rFonts w:hint="default" w:ascii="Times New Roman" w:hAnsi="Times New Roman" w:eastAsia="宋体" w:cs="Times New Roman"/>
                <w:color w:val="auto"/>
                <w:sz w:val="24"/>
                <w:szCs w:val="24"/>
                <w:highlight w:val="none"/>
                <w:lang w:val="en-US" w:eastAsia="zh-CN"/>
              </w:rPr>
              <w:t>参考位置</w:t>
            </w:r>
            <w:r>
              <w:rPr>
                <w:rFonts w:hint="default" w:ascii="Times New Roman" w:hAnsi="Times New Roman" w:eastAsia="宋体" w:cs="Times New Roman"/>
                <w:color w:val="auto"/>
                <w:sz w:val="24"/>
                <w:szCs w:val="24"/>
                <w:highlight w:val="none"/>
              </w:rPr>
              <w:t>r0处的</w:t>
            </w:r>
            <w:r>
              <w:rPr>
                <w:rFonts w:hint="default" w:ascii="Times New Roman" w:hAnsi="Times New Roman" w:eastAsia="宋体" w:cs="Times New Roman"/>
                <w:color w:val="auto"/>
                <w:sz w:val="24"/>
                <w:szCs w:val="24"/>
                <w:highlight w:val="none"/>
                <w:lang w:val="en-US" w:eastAsia="zh-CN"/>
              </w:rPr>
              <w:t>声压级</w:t>
            </w:r>
            <w:r>
              <w:rPr>
                <w:rFonts w:hint="default" w:ascii="Times New Roman" w:hAnsi="Times New Roman" w:eastAsia="宋体" w:cs="Times New Roman"/>
                <w:color w:val="auto"/>
                <w:sz w:val="24"/>
                <w:szCs w:val="24"/>
                <w:highlight w:val="none"/>
              </w:rPr>
              <w:t>，dB；</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预测点距声源的距离；</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r0—</w:t>
            </w:r>
            <w:r>
              <w:rPr>
                <w:rFonts w:hint="default" w:ascii="Times New Roman" w:hAnsi="Times New Roman" w:eastAsia="宋体" w:cs="Times New Roman"/>
                <w:color w:val="auto"/>
                <w:sz w:val="24"/>
                <w:szCs w:val="24"/>
                <w:highlight w:val="none"/>
                <w:lang w:val="en-US" w:eastAsia="zh-CN"/>
              </w:rPr>
              <w:t>参考位置</w:t>
            </w:r>
            <w:r>
              <w:rPr>
                <w:rFonts w:hint="default" w:ascii="Times New Roman" w:hAnsi="Times New Roman" w:eastAsia="宋体" w:cs="Times New Roman"/>
                <w:color w:val="auto"/>
                <w:sz w:val="24"/>
                <w:szCs w:val="24"/>
                <w:highlight w:val="none"/>
              </w:rPr>
              <w:t>距声源的距离，m。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建设项目声源在预测点产生的等效声级贡献值(Leqg)计算公式：</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30"/>
                <w:sz w:val="24"/>
                <w:szCs w:val="24"/>
                <w:highlight w:val="none"/>
              </w:rPr>
              <w:object>
                <v:shape id="_x0000_i1028" o:spt="75" type="#_x0000_t75" style="height:38.9pt;width:143.45pt;" o:ole="t" filled="f" o:preferrelative="t" stroked="f" coordsize="21600,21600">
                  <v:path/>
                  <v:fill on="f" focussize="0,0"/>
                  <v:stroke on="f"/>
                  <v:imagedata r:id="rId28" o:title=""/>
                  <o:lock v:ext="edit" aspectratio="t"/>
                  <w10:wrap type="none"/>
                  <w10:anchorlock/>
                </v:shape>
                <o:OLEObject Type="Embed" ProgID="Equation.3" ShapeID="_x0000_i1028" DrawAspect="Content" ObjectID="_1468075728" r:id="rId27">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Leqg—建设项目声源在预测点的等效声级贡献值，dB(A)；</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LAi—i声源在预测点产生的A声级，dB(A)；</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T—预测计算的时间段，s；</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ti—i声源在T时段内的运行时间，s。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预测点的预测等效声级(Leq)计算公式：</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0"/>
                <w:sz w:val="24"/>
                <w:szCs w:val="24"/>
                <w:highlight w:val="none"/>
              </w:rPr>
              <w:object>
                <v:shape id="_x0000_i1029" o:spt="75" type="#_x0000_t75" style="height:24.2pt;width:184.6pt;" o:ole="t" filled="f" o:preferrelative="t" stroked="f" coordsize="21600,21600">
                  <v:path/>
                  <v:fill on="f" focussize="0,0"/>
                  <v:stroke on="f"/>
                  <v:imagedata r:id="rId30" o:title=""/>
                  <o:lock v:ext="edit" aspectratio="t"/>
                  <w10:wrap type="none"/>
                  <w10:anchorlock/>
                </v:shape>
                <o:OLEObject Type="Embed" ProgID="Equation.3" ShapeID="_x0000_i1029" DrawAspect="Content" ObjectID="_1468075729" r:id="rId29">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Leqg—建设项目声源在预测点的等效声级贡献值，dB(A)； </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Leqb—预测点的背景值，dB(A)。</w:t>
            </w:r>
          </w:p>
          <w:p>
            <w:pPr>
              <w:adjustRightInd w:val="0"/>
              <w:snapToGrid w:val="0"/>
              <w:spacing w:line="360" w:lineRule="auto"/>
              <w:ind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rPr>
              <w:t>预测内容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0"/>
                <w:sz w:val="24"/>
                <w:highlight w:val="none"/>
              </w:rPr>
              <w:t>预测噪声源对厂界外</w:t>
            </w:r>
            <w:r>
              <w:rPr>
                <w:rFonts w:hint="default" w:ascii="Times New Roman" w:hAnsi="Times New Roman" w:eastAsia="宋体" w:cs="Times New Roman"/>
                <w:color w:val="auto"/>
                <w:kern w:val="0"/>
                <w:sz w:val="24"/>
                <w:highlight w:val="none"/>
              </w:rPr>
              <w:t>1m</w:t>
            </w:r>
            <w:r>
              <w:rPr>
                <w:rFonts w:hint="eastAsia" w:ascii="Times New Roman" w:hAnsi="Times New Roman" w:eastAsia="宋体" w:cs="Times New Roman"/>
                <w:color w:val="auto"/>
                <w:kern w:val="0"/>
                <w:sz w:val="24"/>
                <w:highlight w:val="none"/>
              </w:rPr>
              <w:t>处的影响程度</w:t>
            </w:r>
            <w:r>
              <w:rPr>
                <w:rFonts w:hint="eastAsia" w:ascii="Times New Roman" w:hAnsi="Times New Roman" w:eastAsia="宋体" w:cs="Times New Roman"/>
                <w:color w:val="auto"/>
                <w:kern w:val="0"/>
                <w:sz w:val="24"/>
                <w:highlight w:val="none"/>
                <w:lang w:eastAsia="zh-CN"/>
              </w:rPr>
              <w:t>及敏感点的影响程度</w:t>
            </w:r>
            <w:r>
              <w:rPr>
                <w:rFonts w:hint="eastAsia" w:ascii="Times New Roman" w:hAnsi="Times New Roman" w:eastAsia="宋体" w:cs="Times New Roman"/>
                <w:color w:val="auto"/>
                <w:kern w:val="0"/>
                <w:sz w:val="24"/>
                <w:highlight w:val="none"/>
              </w:rPr>
              <w:t>。</w:t>
            </w:r>
          </w:p>
          <w:p>
            <w:pPr>
              <w:pStyle w:val="140"/>
              <w:spacing w:line="360" w:lineRule="auto"/>
              <w:ind w:left="0" w:leftChars="0" w:right="0" w:rightChars="0" w:firstLineChars="200"/>
              <w:rPr>
                <w:rFonts w:hint="default" w:ascii="Times New Roman" w:hAnsi="Times New Roman" w:cs="Times New Roman"/>
                <w:bCs/>
                <w:color w:val="auto"/>
                <w:kern w:val="2"/>
                <w:sz w:val="24"/>
                <w:highlight w:val="none"/>
              </w:rPr>
            </w:pPr>
            <w:r>
              <w:rPr>
                <w:rFonts w:hint="default" w:ascii="Times New Roman" w:hAnsi="Times New Roman" w:cs="Times New Roman"/>
                <w:color w:val="auto"/>
                <w:kern w:val="2"/>
                <w:sz w:val="24"/>
                <w:highlight w:val="none"/>
              </w:rPr>
              <w:t>（</w:t>
            </w:r>
            <w:r>
              <w:rPr>
                <w:rFonts w:hint="default" w:ascii="Times New Roman" w:hAnsi="Times New Roman" w:cs="Times New Roman"/>
                <w:color w:val="auto"/>
                <w:kern w:val="2"/>
                <w:sz w:val="24"/>
                <w:highlight w:val="none"/>
                <w:lang w:val="en-US" w:eastAsia="zh-CN"/>
              </w:rPr>
              <w:t>3</w:t>
            </w:r>
            <w:r>
              <w:rPr>
                <w:rFonts w:hint="default" w:ascii="Times New Roman" w:hAnsi="Times New Roman" w:cs="Times New Roman"/>
                <w:color w:val="auto"/>
                <w:kern w:val="2"/>
                <w:sz w:val="24"/>
                <w:highlight w:val="none"/>
              </w:rPr>
              <w:t>）预测结果</w:t>
            </w:r>
          </w:p>
          <w:p>
            <w:pPr>
              <w:pStyle w:val="81"/>
              <w:rPr>
                <w:rFonts w:hint="default" w:ascii="Times New Roman" w:hAnsi="Times New Roman" w:cs="Times New Roman"/>
                <w:color w:val="auto"/>
                <w:highlight w:val="none"/>
              </w:rPr>
            </w:pPr>
            <w:r>
              <w:rPr>
                <w:rFonts w:hint="default" w:ascii="Times New Roman" w:hAnsi="Times New Roman" w:cs="Times New Roman"/>
                <w:bCs/>
                <w:color w:val="auto"/>
                <w:highlight w:val="none"/>
              </w:rPr>
              <w:t>本项目采用了噪声治理措施，</w:t>
            </w:r>
            <w:r>
              <w:rPr>
                <w:rFonts w:hint="default" w:ascii="Times New Roman" w:hAnsi="Times New Roman" w:cs="Times New Roman"/>
                <w:color w:val="auto"/>
                <w:highlight w:val="none"/>
              </w:rPr>
              <w:t>根据项目的机械设备声级、所在位置，利用噪声预测模式和方法，对厂界噪声</w:t>
            </w:r>
            <w:r>
              <w:rPr>
                <w:rFonts w:hint="default" w:ascii="Times New Roman" w:hAnsi="Times New Roman" w:cs="Times New Roman"/>
                <w:color w:val="auto"/>
                <w:highlight w:val="none"/>
                <w:lang w:val="en-US" w:eastAsia="zh-CN"/>
              </w:rPr>
              <w:t>和敏感点噪声</w:t>
            </w:r>
            <w:r>
              <w:rPr>
                <w:rFonts w:hint="default" w:ascii="Times New Roman" w:hAnsi="Times New Roman" w:cs="Times New Roman"/>
                <w:color w:val="auto"/>
                <w:highlight w:val="none"/>
              </w:rPr>
              <w:t>进行预测计算，得到项目建成后各预测点的昼间和夜间噪声级，噪声影响预测结果见下表。</w:t>
            </w:r>
          </w:p>
          <w:p>
            <w:pPr>
              <w:jc w:val="center"/>
              <w:rPr>
                <w:b/>
                <w:color w:val="auto"/>
                <w:sz w:val="24"/>
                <w:highlight w:val="none"/>
              </w:rPr>
            </w:pPr>
            <w:r>
              <w:rPr>
                <w:b/>
                <w:color w:val="auto"/>
                <w:sz w:val="24"/>
                <w:highlight w:val="none"/>
              </w:rPr>
              <w:t>表</w:t>
            </w:r>
            <w:r>
              <w:rPr>
                <w:rFonts w:hint="default" w:ascii="Times New Roman" w:hAnsi="Times New Roman" w:cs="Times New Roman"/>
                <w:b/>
                <w:color w:val="auto"/>
                <w:sz w:val="24"/>
                <w:highlight w:val="none"/>
              </w:rPr>
              <w:t>4</w:t>
            </w:r>
            <w:r>
              <w:rPr>
                <w:rFonts w:hint="eastAsia"/>
                <w:b/>
                <w:color w:val="auto"/>
                <w:sz w:val="24"/>
                <w:highlight w:val="none"/>
              </w:rPr>
              <w:t>-</w:t>
            </w:r>
            <w:r>
              <w:rPr>
                <w:rFonts w:hint="default" w:ascii="Times New Roman" w:hAnsi="Times New Roman" w:cs="Times New Roman"/>
                <w:b/>
                <w:color w:val="auto"/>
                <w:sz w:val="24"/>
                <w:highlight w:val="none"/>
                <w:lang w:val="en-US" w:eastAsia="zh-CN"/>
              </w:rPr>
              <w:t>9</w:t>
            </w:r>
            <w:r>
              <w:rPr>
                <w:b/>
                <w:color w:val="auto"/>
                <w:sz w:val="24"/>
                <w:highlight w:val="none"/>
              </w:rPr>
              <w:t xml:space="preserve"> </w:t>
            </w:r>
            <w:r>
              <w:rPr>
                <w:rFonts w:hint="eastAsia"/>
                <w:b/>
                <w:color w:val="auto"/>
                <w:sz w:val="24"/>
                <w:highlight w:val="none"/>
                <w:lang w:val="en-US" w:eastAsia="zh-CN"/>
              </w:rPr>
              <w:t>厂界</w:t>
            </w:r>
            <w:r>
              <w:rPr>
                <w:b/>
                <w:color w:val="auto"/>
                <w:sz w:val="24"/>
                <w:highlight w:val="none"/>
              </w:rPr>
              <w:t xml:space="preserve">噪声贡献值预测结果  </w:t>
            </w:r>
            <w:r>
              <w:rPr>
                <w:b/>
                <w:bCs/>
                <w:color w:val="auto"/>
                <w:sz w:val="24"/>
                <w:highlight w:val="none"/>
              </w:rPr>
              <w:t>单位：</w:t>
            </w:r>
            <w:r>
              <w:rPr>
                <w:rFonts w:hint="default" w:ascii="Times New Roman" w:hAnsi="Times New Roman" w:cs="Times New Roman"/>
                <w:b/>
                <w:bCs/>
                <w:color w:val="auto"/>
                <w:sz w:val="24"/>
                <w:highlight w:val="none"/>
              </w:rPr>
              <w:t>dB</w:t>
            </w:r>
            <w:r>
              <w:rPr>
                <w:b/>
                <w:bCs/>
                <w:color w:val="auto"/>
                <w:sz w:val="24"/>
                <w:highlight w:val="none"/>
              </w:rPr>
              <w:t>（</w:t>
            </w:r>
            <w:r>
              <w:rPr>
                <w:rFonts w:hint="default" w:ascii="Times New Roman" w:hAnsi="Times New Roman" w:cs="Times New Roman"/>
                <w:b/>
                <w:bCs/>
                <w:color w:val="auto"/>
                <w:sz w:val="24"/>
                <w:highlight w:val="none"/>
              </w:rPr>
              <w:t>A</w:t>
            </w:r>
            <w:r>
              <w:rPr>
                <w:b/>
                <w:bCs/>
                <w:color w:val="auto"/>
                <w:sz w:val="24"/>
                <w:highlight w:val="none"/>
              </w:rPr>
              <w:t>）</w:t>
            </w:r>
          </w:p>
          <w:tbl>
            <w:tblPr>
              <w:tblStyle w:val="32"/>
              <w:tblW w:w="862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3"/>
              <w:gridCol w:w="1887"/>
              <w:gridCol w:w="1830"/>
              <w:gridCol w:w="24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13" w:type="dxa"/>
                  <w:tcBorders>
                    <w:top w:val="single" w:color="auto" w:sz="12" w:space="0"/>
                  </w:tcBorders>
                  <w:noWrap/>
                  <w:vAlign w:val="center"/>
                </w:tcPr>
                <w:p>
                  <w:pPr>
                    <w:jc w:val="center"/>
                    <w:rPr>
                      <w:color w:val="auto"/>
                      <w:szCs w:val="21"/>
                      <w:highlight w:val="none"/>
                    </w:rPr>
                  </w:pPr>
                  <w:r>
                    <w:rPr>
                      <w:color w:val="auto"/>
                      <w:szCs w:val="21"/>
                      <w:highlight w:val="none"/>
                    </w:rPr>
                    <w:t>预测点位</w:t>
                  </w:r>
                </w:p>
              </w:tc>
              <w:tc>
                <w:tcPr>
                  <w:tcW w:w="1887" w:type="dxa"/>
                  <w:tcBorders>
                    <w:top w:val="single" w:color="auto" w:sz="12" w:space="0"/>
                  </w:tcBorders>
                  <w:noWrap/>
                  <w:vAlign w:val="center"/>
                </w:tcPr>
                <w:p>
                  <w:pPr>
                    <w:jc w:val="center"/>
                    <w:rPr>
                      <w:color w:val="auto"/>
                      <w:szCs w:val="21"/>
                      <w:highlight w:val="none"/>
                    </w:rPr>
                  </w:pPr>
                  <w:r>
                    <w:rPr>
                      <w:color w:val="auto"/>
                      <w:szCs w:val="21"/>
                      <w:highlight w:val="none"/>
                    </w:rPr>
                    <w:t>预测时段</w:t>
                  </w:r>
                </w:p>
              </w:tc>
              <w:tc>
                <w:tcPr>
                  <w:tcW w:w="1830" w:type="dxa"/>
                  <w:tcBorders>
                    <w:top w:val="single" w:color="auto" w:sz="12" w:space="0"/>
                  </w:tcBorders>
                  <w:noWrap/>
                  <w:vAlign w:val="center"/>
                </w:tcPr>
                <w:p>
                  <w:pPr>
                    <w:jc w:val="center"/>
                    <w:rPr>
                      <w:color w:val="auto"/>
                      <w:szCs w:val="21"/>
                      <w:highlight w:val="none"/>
                    </w:rPr>
                  </w:pPr>
                  <w:r>
                    <w:rPr>
                      <w:rFonts w:hint="eastAsia"/>
                      <w:color w:val="auto"/>
                      <w:szCs w:val="21"/>
                      <w:highlight w:val="none"/>
                    </w:rPr>
                    <w:t>贡献值</w:t>
                  </w:r>
                </w:p>
              </w:tc>
              <w:tc>
                <w:tcPr>
                  <w:tcW w:w="2497" w:type="dxa"/>
                  <w:tcBorders>
                    <w:top w:val="single" w:color="auto" w:sz="12" w:space="0"/>
                    <w:bottom w:val="single" w:color="auto" w:sz="4" w:space="0"/>
                  </w:tcBorders>
                  <w:noWrap/>
                  <w:vAlign w:val="center"/>
                </w:tcPr>
                <w:p>
                  <w:pPr>
                    <w:jc w:val="center"/>
                    <w:rPr>
                      <w:color w:val="auto"/>
                      <w:szCs w:val="21"/>
                      <w:highlight w:val="none"/>
                    </w:rPr>
                  </w:pPr>
                  <w:r>
                    <w:rPr>
                      <w:color w:val="auto"/>
                      <w:szCs w:val="21"/>
                      <w:highlight w:val="none"/>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13" w:type="dxa"/>
                  <w:noWrap/>
                  <w:vAlign w:val="center"/>
                </w:tcPr>
                <w:p>
                  <w:pPr>
                    <w:jc w:val="center"/>
                    <w:rPr>
                      <w:rFonts w:hint="default" w:eastAsia="宋体"/>
                      <w:color w:val="auto"/>
                      <w:szCs w:val="21"/>
                      <w:highlight w:val="none"/>
                      <w:lang w:val="en-US" w:eastAsia="zh-CN"/>
                    </w:rPr>
                  </w:pPr>
                  <w:r>
                    <w:rPr>
                      <w:color w:val="auto"/>
                      <w:szCs w:val="21"/>
                      <w:highlight w:val="none"/>
                    </w:rPr>
                    <w:t>东</w:t>
                  </w:r>
                  <w:r>
                    <w:rPr>
                      <w:rFonts w:hint="eastAsia"/>
                      <w:color w:val="auto"/>
                      <w:szCs w:val="21"/>
                      <w:highlight w:val="none"/>
                      <w:lang w:val="en-US" w:eastAsia="zh-CN"/>
                    </w:rPr>
                    <w:t>侧厂界</w:t>
                  </w:r>
                </w:p>
              </w:tc>
              <w:tc>
                <w:tcPr>
                  <w:tcW w:w="1887" w:type="dxa"/>
                  <w:noWrap/>
                  <w:vAlign w:val="center"/>
                </w:tcPr>
                <w:p>
                  <w:pPr>
                    <w:jc w:val="center"/>
                    <w:rPr>
                      <w:rFonts w:hint="eastAsia" w:eastAsia="宋体"/>
                      <w:color w:val="auto"/>
                      <w:szCs w:val="21"/>
                      <w:highlight w:val="none"/>
                      <w:lang w:eastAsia="zh-CN"/>
                    </w:rPr>
                  </w:pPr>
                  <w:r>
                    <w:rPr>
                      <w:color w:val="auto"/>
                      <w:szCs w:val="21"/>
                      <w:highlight w:val="none"/>
                    </w:rPr>
                    <w:t>昼</w:t>
                  </w:r>
                </w:p>
              </w:tc>
              <w:tc>
                <w:tcPr>
                  <w:tcW w:w="1830" w:type="dxa"/>
                  <w:noWrap/>
                  <w:vAlign w:val="center"/>
                </w:tcPr>
                <w:p>
                  <w:pPr>
                    <w:jc w:val="center"/>
                    <w:rPr>
                      <w:rFonts w:hint="default" w:eastAsia="宋体"/>
                      <w:color w:val="auto"/>
                      <w:szCs w:val="21"/>
                      <w:highlight w:val="none"/>
                      <w:lang w:val="en-US" w:eastAsia="zh-CN"/>
                    </w:rPr>
                  </w:pPr>
                  <w:r>
                    <w:rPr>
                      <w:rFonts w:hint="default" w:ascii="Times New Roman" w:hAnsi="Times New Roman" w:cs="Times New Roman"/>
                      <w:color w:val="auto"/>
                      <w:szCs w:val="21"/>
                      <w:highlight w:val="none"/>
                      <w:lang w:val="en-US" w:eastAsia="zh-CN"/>
                    </w:rPr>
                    <w:t>36</w:t>
                  </w:r>
                  <w:r>
                    <w:rPr>
                      <w:rFonts w:hint="eastAsia"/>
                      <w:color w:val="auto"/>
                      <w:szCs w:val="21"/>
                      <w:highlight w:val="none"/>
                      <w:lang w:val="en-US" w:eastAsia="zh-CN"/>
                    </w:rPr>
                    <w:t>.</w:t>
                  </w:r>
                  <w:r>
                    <w:rPr>
                      <w:rFonts w:hint="default" w:ascii="Times New Roman" w:hAnsi="Times New Roman" w:cs="Times New Roman"/>
                      <w:color w:val="auto"/>
                      <w:szCs w:val="21"/>
                      <w:highlight w:val="none"/>
                      <w:lang w:val="en-US" w:eastAsia="zh-CN"/>
                    </w:rPr>
                    <w:t>3</w:t>
                  </w:r>
                </w:p>
              </w:tc>
              <w:tc>
                <w:tcPr>
                  <w:tcW w:w="2497" w:type="dxa"/>
                  <w:vMerge w:val="restart"/>
                  <w:tcBorders>
                    <w:top w:val="single" w:color="auto" w:sz="4" w:space="0"/>
                  </w:tcBorders>
                  <w:noWrap/>
                  <w:vAlign w:val="center"/>
                </w:tcPr>
                <w:p>
                  <w:pPr>
                    <w:jc w:val="center"/>
                    <w:rPr>
                      <w:color w:val="auto"/>
                      <w:szCs w:val="21"/>
                      <w:highlight w:val="none"/>
                    </w:rPr>
                  </w:pPr>
                  <w:r>
                    <w:rPr>
                      <w:rFonts w:hint="eastAsia"/>
                      <w:bCs/>
                      <w:color w:val="auto"/>
                      <w:szCs w:val="21"/>
                      <w:highlight w:val="none"/>
                    </w:rPr>
                    <w:t>厂界</w:t>
                  </w:r>
                  <w:r>
                    <w:rPr>
                      <w:bCs/>
                      <w:color w:val="auto"/>
                      <w:szCs w:val="21"/>
                      <w:highlight w:val="none"/>
                    </w:rPr>
                    <w:t>满足《工业企业厂界环境噪声排放标准》（</w:t>
                  </w:r>
                  <w:r>
                    <w:rPr>
                      <w:rFonts w:hint="default" w:ascii="Times New Roman" w:hAnsi="Times New Roman" w:cs="Times New Roman"/>
                      <w:bCs/>
                      <w:color w:val="auto"/>
                      <w:szCs w:val="21"/>
                      <w:highlight w:val="none"/>
                    </w:rPr>
                    <w:t>GB12348</w:t>
                  </w:r>
                  <w:r>
                    <w:rPr>
                      <w:bCs/>
                      <w:color w:val="auto"/>
                      <w:szCs w:val="21"/>
                      <w:highlight w:val="none"/>
                    </w:rPr>
                    <w:t>—</w:t>
                  </w:r>
                  <w:r>
                    <w:rPr>
                      <w:rFonts w:hint="default" w:ascii="Times New Roman" w:hAnsi="Times New Roman" w:cs="Times New Roman"/>
                      <w:bCs/>
                      <w:color w:val="auto"/>
                      <w:szCs w:val="21"/>
                      <w:highlight w:val="none"/>
                    </w:rPr>
                    <w:t>2008</w:t>
                  </w:r>
                  <w:r>
                    <w:rPr>
                      <w:bCs/>
                      <w:color w:val="auto"/>
                      <w:szCs w:val="21"/>
                      <w:highlight w:val="none"/>
                    </w:rPr>
                    <w:t>）</w:t>
                  </w:r>
                  <w:r>
                    <w:rPr>
                      <w:color w:val="auto"/>
                      <w:szCs w:val="21"/>
                      <w:highlight w:val="none"/>
                    </w:rPr>
                    <w:t>中</w:t>
                  </w:r>
                  <w:r>
                    <w:rPr>
                      <w:rFonts w:hint="default" w:ascii="Times New Roman" w:hAnsi="Times New Roman" w:cs="Times New Roman"/>
                      <w:color w:val="auto"/>
                      <w:szCs w:val="21"/>
                      <w:highlight w:val="none"/>
                    </w:rPr>
                    <w:t>2</w:t>
                  </w:r>
                  <w:r>
                    <w:rPr>
                      <w:rFonts w:hint="eastAsia"/>
                      <w:color w:val="auto"/>
                      <w:szCs w:val="21"/>
                      <w:highlight w:val="none"/>
                      <w:lang w:eastAsia="zh-CN"/>
                    </w:rPr>
                    <w:t>、</w:t>
                  </w:r>
                  <w:r>
                    <w:rPr>
                      <w:rFonts w:hint="eastAsia" w:cs="Times New Roman"/>
                      <w:color w:val="auto"/>
                      <w:szCs w:val="21"/>
                      <w:highlight w:val="none"/>
                      <w:lang w:val="en-US" w:eastAsia="zh-CN"/>
                    </w:rPr>
                    <w:t>4a类</w:t>
                  </w:r>
                  <w:r>
                    <w:rPr>
                      <w:rFonts w:hint="eastAsia"/>
                      <w:color w:val="auto"/>
                      <w:szCs w:val="21"/>
                      <w:highlight w:val="none"/>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13" w:type="dxa"/>
                  <w:noWrap/>
                  <w:vAlign w:val="center"/>
                </w:tcPr>
                <w:p>
                  <w:pPr>
                    <w:jc w:val="center"/>
                    <w:rPr>
                      <w:color w:val="auto"/>
                      <w:szCs w:val="21"/>
                      <w:highlight w:val="none"/>
                    </w:rPr>
                  </w:pPr>
                  <w:r>
                    <w:rPr>
                      <w:color w:val="auto"/>
                      <w:szCs w:val="21"/>
                      <w:highlight w:val="none"/>
                    </w:rPr>
                    <w:t>北</w:t>
                  </w:r>
                  <w:r>
                    <w:rPr>
                      <w:rFonts w:hint="eastAsia"/>
                      <w:color w:val="auto"/>
                      <w:szCs w:val="21"/>
                      <w:highlight w:val="none"/>
                      <w:lang w:val="en-US" w:eastAsia="zh-CN"/>
                    </w:rPr>
                    <w:t>侧厂界</w:t>
                  </w:r>
                </w:p>
              </w:tc>
              <w:tc>
                <w:tcPr>
                  <w:tcW w:w="1887" w:type="dxa"/>
                  <w:noWrap/>
                  <w:vAlign w:val="center"/>
                </w:tcPr>
                <w:p>
                  <w:pPr>
                    <w:jc w:val="center"/>
                    <w:rPr>
                      <w:color w:val="auto"/>
                      <w:szCs w:val="21"/>
                      <w:highlight w:val="none"/>
                    </w:rPr>
                  </w:pPr>
                  <w:r>
                    <w:rPr>
                      <w:color w:val="auto"/>
                      <w:szCs w:val="21"/>
                      <w:highlight w:val="none"/>
                    </w:rPr>
                    <w:t>昼</w:t>
                  </w:r>
                </w:p>
              </w:tc>
              <w:tc>
                <w:tcPr>
                  <w:tcW w:w="1830" w:type="dxa"/>
                  <w:noWrap/>
                  <w:vAlign w:val="center"/>
                </w:tcPr>
                <w:p>
                  <w:pPr>
                    <w:jc w:val="center"/>
                    <w:rPr>
                      <w:rFonts w:hint="default" w:eastAsia="宋体"/>
                      <w:color w:val="auto"/>
                      <w:szCs w:val="21"/>
                      <w:highlight w:val="none"/>
                      <w:lang w:val="en-US" w:eastAsia="zh-CN"/>
                    </w:rPr>
                  </w:pPr>
                  <w:r>
                    <w:rPr>
                      <w:rFonts w:hint="default" w:ascii="Times New Roman" w:hAnsi="Times New Roman" w:cs="Times New Roman"/>
                      <w:color w:val="auto"/>
                      <w:szCs w:val="21"/>
                      <w:highlight w:val="none"/>
                      <w:lang w:val="en-US" w:eastAsia="zh-CN"/>
                    </w:rPr>
                    <w:t>36</w:t>
                  </w:r>
                  <w:r>
                    <w:rPr>
                      <w:rFonts w:hint="eastAsia"/>
                      <w:color w:val="auto"/>
                      <w:szCs w:val="21"/>
                      <w:highlight w:val="none"/>
                      <w:lang w:val="en-US" w:eastAsia="zh-CN"/>
                    </w:rPr>
                    <w:t>.</w:t>
                  </w:r>
                  <w:r>
                    <w:rPr>
                      <w:rFonts w:hint="default" w:ascii="Times New Roman" w:hAnsi="Times New Roman" w:cs="Times New Roman"/>
                      <w:color w:val="auto"/>
                      <w:szCs w:val="21"/>
                      <w:highlight w:val="none"/>
                      <w:lang w:val="en-US" w:eastAsia="zh-CN"/>
                    </w:rPr>
                    <w:t>2</w:t>
                  </w:r>
                </w:p>
              </w:tc>
              <w:tc>
                <w:tcPr>
                  <w:tcW w:w="2497" w:type="dxa"/>
                  <w:vMerge w:val="continue"/>
                  <w:noWrap/>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13" w:type="dxa"/>
                  <w:noWrap/>
                  <w:vAlign w:val="center"/>
                </w:tcPr>
                <w:p>
                  <w:pPr>
                    <w:jc w:val="center"/>
                    <w:rPr>
                      <w:color w:val="auto"/>
                      <w:szCs w:val="21"/>
                      <w:highlight w:val="none"/>
                    </w:rPr>
                  </w:pPr>
                  <w:r>
                    <w:rPr>
                      <w:color w:val="auto"/>
                      <w:szCs w:val="21"/>
                      <w:highlight w:val="none"/>
                    </w:rPr>
                    <w:t>西</w:t>
                  </w:r>
                  <w:r>
                    <w:rPr>
                      <w:rFonts w:hint="eastAsia"/>
                      <w:color w:val="auto"/>
                      <w:szCs w:val="21"/>
                      <w:highlight w:val="none"/>
                      <w:lang w:val="en-US" w:eastAsia="zh-CN"/>
                    </w:rPr>
                    <w:t>侧厂界</w:t>
                  </w:r>
                </w:p>
              </w:tc>
              <w:tc>
                <w:tcPr>
                  <w:tcW w:w="1887" w:type="dxa"/>
                  <w:noWrap/>
                  <w:vAlign w:val="center"/>
                </w:tcPr>
                <w:p>
                  <w:pPr>
                    <w:jc w:val="center"/>
                    <w:rPr>
                      <w:color w:val="auto"/>
                      <w:szCs w:val="21"/>
                      <w:highlight w:val="none"/>
                    </w:rPr>
                  </w:pPr>
                  <w:r>
                    <w:rPr>
                      <w:color w:val="auto"/>
                      <w:szCs w:val="21"/>
                      <w:highlight w:val="none"/>
                    </w:rPr>
                    <w:t>昼</w:t>
                  </w:r>
                </w:p>
              </w:tc>
              <w:tc>
                <w:tcPr>
                  <w:tcW w:w="1830" w:type="dxa"/>
                  <w:noWrap/>
                  <w:vAlign w:val="center"/>
                </w:tcPr>
                <w:p>
                  <w:pPr>
                    <w:jc w:val="center"/>
                    <w:rPr>
                      <w:rFonts w:hint="default" w:eastAsia="宋体"/>
                      <w:color w:val="auto"/>
                      <w:szCs w:val="21"/>
                      <w:highlight w:val="none"/>
                      <w:lang w:val="en-US" w:eastAsia="zh-CN"/>
                    </w:rPr>
                  </w:pPr>
                  <w:r>
                    <w:rPr>
                      <w:rFonts w:hint="default" w:ascii="Times New Roman" w:hAnsi="Times New Roman" w:cs="Times New Roman"/>
                      <w:color w:val="auto"/>
                      <w:szCs w:val="21"/>
                      <w:highlight w:val="none"/>
                      <w:lang w:val="en-US" w:eastAsia="zh-CN"/>
                    </w:rPr>
                    <w:t>36</w:t>
                  </w:r>
                  <w:r>
                    <w:rPr>
                      <w:rFonts w:hint="eastAsia"/>
                      <w:color w:val="auto"/>
                      <w:szCs w:val="21"/>
                      <w:highlight w:val="none"/>
                      <w:lang w:val="en-US" w:eastAsia="zh-CN"/>
                    </w:rPr>
                    <w:t>.</w:t>
                  </w:r>
                  <w:r>
                    <w:rPr>
                      <w:rFonts w:hint="default" w:ascii="Times New Roman" w:hAnsi="Times New Roman" w:cs="Times New Roman"/>
                      <w:color w:val="auto"/>
                      <w:szCs w:val="21"/>
                      <w:highlight w:val="none"/>
                      <w:lang w:val="en-US" w:eastAsia="zh-CN"/>
                    </w:rPr>
                    <w:t>6</w:t>
                  </w:r>
                </w:p>
              </w:tc>
              <w:tc>
                <w:tcPr>
                  <w:tcW w:w="2497" w:type="dxa"/>
                  <w:vMerge w:val="continue"/>
                  <w:noWrap/>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13" w:type="dxa"/>
                  <w:noWrap/>
                  <w:vAlign w:val="center"/>
                </w:tcPr>
                <w:p>
                  <w:pPr>
                    <w:jc w:val="center"/>
                    <w:rPr>
                      <w:color w:val="auto"/>
                      <w:szCs w:val="21"/>
                      <w:highlight w:val="none"/>
                    </w:rPr>
                  </w:pPr>
                  <w:r>
                    <w:rPr>
                      <w:color w:val="auto"/>
                      <w:szCs w:val="21"/>
                      <w:highlight w:val="none"/>
                    </w:rPr>
                    <w:t>南</w:t>
                  </w:r>
                  <w:r>
                    <w:rPr>
                      <w:rFonts w:hint="eastAsia"/>
                      <w:color w:val="auto"/>
                      <w:szCs w:val="21"/>
                      <w:highlight w:val="none"/>
                      <w:lang w:val="en-US" w:eastAsia="zh-CN"/>
                    </w:rPr>
                    <w:t>侧厂界</w:t>
                  </w:r>
                </w:p>
              </w:tc>
              <w:tc>
                <w:tcPr>
                  <w:tcW w:w="1887" w:type="dxa"/>
                  <w:noWrap/>
                  <w:vAlign w:val="center"/>
                </w:tcPr>
                <w:p>
                  <w:pPr>
                    <w:jc w:val="center"/>
                    <w:rPr>
                      <w:rFonts w:hint="eastAsia" w:eastAsia="宋体"/>
                      <w:color w:val="auto"/>
                      <w:szCs w:val="21"/>
                      <w:highlight w:val="none"/>
                      <w:lang w:eastAsia="zh-CN"/>
                    </w:rPr>
                  </w:pPr>
                  <w:r>
                    <w:rPr>
                      <w:color w:val="auto"/>
                      <w:szCs w:val="21"/>
                      <w:highlight w:val="none"/>
                    </w:rPr>
                    <w:t>昼</w:t>
                  </w:r>
                </w:p>
              </w:tc>
              <w:tc>
                <w:tcPr>
                  <w:tcW w:w="1830" w:type="dxa"/>
                  <w:noWrap/>
                  <w:vAlign w:val="center"/>
                </w:tcPr>
                <w:p>
                  <w:pPr>
                    <w:jc w:val="center"/>
                    <w:rPr>
                      <w:rFonts w:hint="default"/>
                      <w:color w:val="auto"/>
                      <w:szCs w:val="21"/>
                      <w:highlight w:val="none"/>
                      <w:lang w:val="en-US" w:eastAsia="zh-CN"/>
                    </w:rPr>
                  </w:pPr>
                  <w:r>
                    <w:rPr>
                      <w:rFonts w:hint="default" w:ascii="Times New Roman" w:hAnsi="Times New Roman" w:cs="Times New Roman"/>
                      <w:color w:val="auto"/>
                      <w:szCs w:val="21"/>
                      <w:highlight w:val="none"/>
                      <w:lang w:val="en-US" w:eastAsia="zh-CN"/>
                    </w:rPr>
                    <w:t>49</w:t>
                  </w:r>
                  <w:r>
                    <w:rPr>
                      <w:rFonts w:hint="eastAsia"/>
                      <w:color w:val="auto"/>
                      <w:szCs w:val="21"/>
                      <w:highlight w:val="none"/>
                      <w:lang w:val="en-US" w:eastAsia="zh-CN"/>
                    </w:rPr>
                    <w:t>.</w:t>
                  </w:r>
                  <w:r>
                    <w:rPr>
                      <w:rFonts w:hint="default" w:ascii="Times New Roman" w:hAnsi="Times New Roman" w:cs="Times New Roman"/>
                      <w:color w:val="auto"/>
                      <w:szCs w:val="21"/>
                      <w:highlight w:val="none"/>
                      <w:lang w:val="en-US" w:eastAsia="zh-CN"/>
                    </w:rPr>
                    <w:t>1</w:t>
                  </w:r>
                </w:p>
              </w:tc>
              <w:tc>
                <w:tcPr>
                  <w:tcW w:w="2497" w:type="dxa"/>
                  <w:vMerge w:val="continue"/>
                  <w:noWrap/>
                  <w:vAlign w:val="center"/>
                </w:tcPr>
                <w:p>
                  <w:pPr>
                    <w:jc w:val="center"/>
                    <w:rPr>
                      <w:color w:val="auto"/>
                      <w:szCs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default" w:ascii="Times New Roman" w:hAnsi="Times New Roman" w:cs="Times New Roman"/>
                <w:color w:val="auto"/>
                <w:sz w:val="24"/>
                <w:highlight w:val="none"/>
                <w:lang w:val="en-US" w:eastAsia="zh-CN"/>
              </w:rPr>
              <w:t>4</w:t>
            </w:r>
            <w:r>
              <w:rPr>
                <w:rFonts w:hint="eastAsia"/>
                <w:color w:val="auto"/>
                <w:sz w:val="24"/>
                <w:highlight w:val="none"/>
              </w:rPr>
              <w:t>、噪声环境影响分析</w:t>
            </w:r>
          </w:p>
          <w:p>
            <w:pPr>
              <w:adjustRightInd w:val="0"/>
              <w:snapToGrid w:val="0"/>
              <w:spacing w:line="360" w:lineRule="auto"/>
              <w:ind w:firstLine="480" w:firstLineChars="200"/>
              <w:rPr>
                <w:rFonts w:ascii="Times New Roman" w:hAnsi="Times New Roman" w:eastAsia="宋体" w:cs="Times New Roman"/>
                <w:snapToGrid w:val="0"/>
                <w:color w:val="auto"/>
                <w:kern w:val="0"/>
                <w:sz w:val="24"/>
                <w:szCs w:val="21"/>
                <w:highlight w:val="none"/>
                <w:lang w:val="en-US" w:eastAsia="zh-CN" w:bidi="ar-SA"/>
              </w:rPr>
            </w:pPr>
            <w:r>
              <w:rPr>
                <w:rFonts w:hint="default" w:ascii="Times New Roman" w:hAnsi="Times New Roman" w:eastAsia="宋体" w:cs="Times New Roman"/>
                <w:color w:val="auto"/>
                <w:sz w:val="24"/>
                <w:highlight w:val="none"/>
                <w:lang w:val="en-US" w:eastAsia="zh-CN"/>
              </w:rPr>
              <w:t>项目投入运营后，噪声主要来源于设备运行时</w:t>
            </w:r>
            <w:r>
              <w:rPr>
                <w:rFonts w:hint="eastAsia" w:ascii="Times New Roman" w:hAnsi="Times New Roman" w:eastAsia="宋体" w:cs="Times New Roman"/>
                <w:color w:val="auto"/>
                <w:sz w:val="24"/>
                <w:highlight w:val="none"/>
                <w:lang w:val="en-US" w:eastAsia="zh-CN"/>
              </w:rPr>
              <w:t>和运输车辆运输时</w:t>
            </w:r>
            <w:r>
              <w:rPr>
                <w:rFonts w:hint="default" w:ascii="Times New Roman" w:hAnsi="Times New Roman" w:eastAsia="宋体" w:cs="Times New Roman"/>
                <w:color w:val="auto"/>
                <w:sz w:val="24"/>
                <w:highlight w:val="none"/>
                <w:lang w:val="en-US" w:eastAsia="zh-CN"/>
              </w:rPr>
              <w:t>产生的噪</w:t>
            </w:r>
            <w:r>
              <w:rPr>
                <w:rFonts w:hint="eastAsia" w:ascii="Times New Roman" w:hAnsi="Times New Roman" w:eastAsia="宋体" w:cs="Times New Roman"/>
                <w:color w:val="auto"/>
                <w:sz w:val="24"/>
                <w:highlight w:val="none"/>
                <w:lang w:val="en-US" w:eastAsia="zh-CN"/>
              </w:rPr>
              <w:t>声</w:t>
            </w:r>
            <w:r>
              <w:rPr>
                <w:rFonts w:ascii="Times New Roman" w:hAnsi="Times New Roman" w:eastAsia="宋体" w:cs="Times New Roman"/>
                <w:snapToGrid w:val="0"/>
                <w:color w:val="auto"/>
                <w:kern w:val="0"/>
                <w:sz w:val="24"/>
                <w:szCs w:val="21"/>
                <w:highlight w:val="none"/>
                <w:lang w:val="en-US" w:eastAsia="zh-CN" w:bidi="ar-SA"/>
              </w:rPr>
              <w:t>。</w:t>
            </w:r>
            <w:r>
              <w:rPr>
                <w:rFonts w:hint="eastAsia" w:ascii="Times New Roman" w:hAnsi="Times New Roman" w:eastAsia="宋体" w:cs="Times New Roman"/>
                <w:color w:val="auto"/>
                <w:sz w:val="24"/>
                <w:highlight w:val="none"/>
                <w:lang w:val="en-US" w:eastAsia="zh-CN"/>
              </w:rPr>
              <w:t>厂区内车辆限速行驶，禁止鸣笛。</w:t>
            </w:r>
            <w:r>
              <w:rPr>
                <w:rFonts w:ascii="Times New Roman" w:hAnsi="Times New Roman" w:eastAsia="宋体" w:cs="Times New Roman"/>
                <w:snapToGrid w:val="0"/>
                <w:color w:val="auto"/>
                <w:kern w:val="0"/>
                <w:sz w:val="24"/>
                <w:szCs w:val="21"/>
                <w:highlight w:val="none"/>
                <w:lang w:val="en-US" w:eastAsia="zh-CN" w:bidi="ar-SA"/>
              </w:rPr>
              <w:t>本项目采取选购低噪声设备，在安装时采取减振、软连接、隔声措施</w:t>
            </w:r>
            <w:r>
              <w:rPr>
                <w:rFonts w:hint="eastAsia" w:ascii="Times New Roman" w:hAnsi="Times New Roman" w:eastAsia="宋体" w:cs="Times New Roman"/>
                <w:snapToGrid w:val="0"/>
                <w:color w:val="auto"/>
                <w:kern w:val="0"/>
                <w:sz w:val="24"/>
                <w:szCs w:val="21"/>
                <w:highlight w:val="none"/>
                <w:lang w:val="en-US" w:eastAsia="zh-CN" w:bidi="ar-SA"/>
              </w:rPr>
              <w:t>，</w:t>
            </w:r>
            <w:r>
              <w:rPr>
                <w:rFonts w:ascii="Times New Roman" w:hAnsi="Times New Roman" w:eastAsia="宋体" w:cs="Times New Roman"/>
                <w:snapToGrid w:val="0"/>
                <w:color w:val="auto"/>
                <w:kern w:val="0"/>
                <w:sz w:val="24"/>
                <w:szCs w:val="21"/>
                <w:highlight w:val="none"/>
                <w:lang w:val="en-US" w:eastAsia="zh-CN" w:bidi="ar-SA"/>
              </w:rPr>
              <w:t>优化厂区布置，</w:t>
            </w:r>
            <w:r>
              <w:rPr>
                <w:rFonts w:hint="eastAsia" w:ascii="Times New Roman" w:hAnsi="Times New Roman" w:eastAsia="宋体" w:cs="Times New Roman"/>
                <w:snapToGrid w:val="0"/>
                <w:color w:val="auto"/>
                <w:kern w:val="0"/>
                <w:sz w:val="24"/>
                <w:szCs w:val="21"/>
                <w:highlight w:val="none"/>
                <w:lang w:val="en-US" w:eastAsia="zh-CN" w:bidi="ar-SA"/>
              </w:rPr>
              <w:t>噪声经过</w:t>
            </w:r>
            <w:r>
              <w:rPr>
                <w:rFonts w:ascii="Times New Roman" w:hAnsi="Times New Roman" w:eastAsia="宋体" w:cs="Times New Roman"/>
                <w:snapToGrid w:val="0"/>
                <w:color w:val="auto"/>
                <w:kern w:val="0"/>
                <w:sz w:val="24"/>
                <w:szCs w:val="21"/>
                <w:highlight w:val="none"/>
                <w:lang w:val="en-US" w:eastAsia="zh-CN" w:bidi="ar-SA"/>
              </w:rPr>
              <w:t>厂区距离衰减后对外环境影响较小，厂界外</w:t>
            </w:r>
            <w:r>
              <w:rPr>
                <w:rFonts w:hint="default" w:ascii="Times New Roman" w:hAnsi="Times New Roman" w:eastAsia="宋体" w:cs="Times New Roman"/>
                <w:snapToGrid w:val="0"/>
                <w:color w:val="auto"/>
                <w:kern w:val="0"/>
                <w:sz w:val="24"/>
                <w:szCs w:val="21"/>
                <w:highlight w:val="none"/>
                <w:lang w:val="en-US" w:eastAsia="zh-CN" w:bidi="ar-SA"/>
              </w:rPr>
              <w:t>1m</w:t>
            </w:r>
            <w:r>
              <w:rPr>
                <w:rFonts w:ascii="Times New Roman" w:hAnsi="Times New Roman" w:eastAsia="宋体" w:cs="Times New Roman"/>
                <w:snapToGrid w:val="0"/>
                <w:color w:val="auto"/>
                <w:kern w:val="0"/>
                <w:sz w:val="24"/>
                <w:szCs w:val="21"/>
                <w:highlight w:val="none"/>
                <w:lang w:val="en-US" w:eastAsia="zh-CN" w:bidi="ar-SA"/>
              </w:rPr>
              <w:t>处能够达到《工业企业厂界环境噪声排放标准》（</w:t>
            </w:r>
            <w:r>
              <w:rPr>
                <w:rFonts w:hint="default" w:ascii="Times New Roman" w:hAnsi="Times New Roman" w:eastAsia="宋体" w:cs="Times New Roman"/>
                <w:snapToGrid w:val="0"/>
                <w:color w:val="auto"/>
                <w:kern w:val="0"/>
                <w:sz w:val="24"/>
                <w:szCs w:val="21"/>
                <w:highlight w:val="none"/>
                <w:lang w:val="en-US" w:eastAsia="zh-CN" w:bidi="ar-SA"/>
              </w:rPr>
              <w:t>GB12348</w:t>
            </w:r>
            <w:r>
              <w:rPr>
                <w:rFonts w:ascii="Times New Roman" w:hAnsi="Times New Roman" w:eastAsia="宋体" w:cs="Times New Roman"/>
                <w:snapToGrid w:val="0"/>
                <w:color w:val="auto"/>
                <w:kern w:val="0"/>
                <w:sz w:val="24"/>
                <w:szCs w:val="21"/>
                <w:highlight w:val="none"/>
                <w:lang w:val="en-US" w:eastAsia="zh-CN" w:bidi="ar-SA"/>
              </w:rPr>
              <w:t>-</w:t>
            </w:r>
            <w:r>
              <w:rPr>
                <w:rFonts w:hint="default" w:ascii="Times New Roman" w:hAnsi="Times New Roman" w:eastAsia="宋体" w:cs="Times New Roman"/>
                <w:snapToGrid w:val="0"/>
                <w:color w:val="auto"/>
                <w:kern w:val="0"/>
                <w:sz w:val="24"/>
                <w:szCs w:val="21"/>
                <w:highlight w:val="none"/>
                <w:lang w:val="en-US" w:eastAsia="zh-CN" w:bidi="ar-SA"/>
              </w:rPr>
              <w:t>2008</w:t>
            </w:r>
            <w:r>
              <w:rPr>
                <w:rFonts w:ascii="Times New Roman" w:hAnsi="Times New Roman" w:eastAsia="宋体" w:cs="Times New Roman"/>
                <w:snapToGrid w:val="0"/>
                <w:color w:val="auto"/>
                <w:kern w:val="0"/>
                <w:sz w:val="24"/>
                <w:szCs w:val="21"/>
                <w:highlight w:val="none"/>
                <w:lang w:val="en-US" w:eastAsia="zh-CN" w:bidi="ar-SA"/>
              </w:rPr>
              <w:t>）</w:t>
            </w:r>
            <w:r>
              <w:rPr>
                <w:rFonts w:hint="eastAsia" w:ascii="Times New Roman" w:hAnsi="Times New Roman" w:eastAsia="宋体" w:cs="Times New Roman"/>
                <w:snapToGrid w:val="0"/>
                <w:color w:val="auto"/>
                <w:kern w:val="0"/>
                <w:sz w:val="24"/>
                <w:szCs w:val="21"/>
                <w:highlight w:val="none"/>
                <w:lang w:val="en-US" w:eastAsia="zh-CN" w:bidi="ar-SA"/>
              </w:rPr>
              <w:t>表</w:t>
            </w:r>
            <w:r>
              <w:rPr>
                <w:rFonts w:hint="default" w:ascii="Times New Roman" w:hAnsi="Times New Roman" w:eastAsia="宋体" w:cs="Times New Roman"/>
                <w:snapToGrid w:val="0"/>
                <w:color w:val="auto"/>
                <w:kern w:val="0"/>
                <w:sz w:val="24"/>
                <w:szCs w:val="21"/>
                <w:highlight w:val="none"/>
                <w:lang w:val="en-US" w:eastAsia="zh-CN" w:bidi="ar-SA"/>
              </w:rPr>
              <w:t>1</w:t>
            </w:r>
            <w:r>
              <w:rPr>
                <w:rFonts w:hint="eastAsia" w:ascii="Times New Roman" w:hAnsi="Times New Roman" w:eastAsia="宋体" w:cs="Times New Roman"/>
                <w:snapToGrid w:val="0"/>
                <w:color w:val="auto"/>
                <w:kern w:val="0"/>
                <w:sz w:val="24"/>
                <w:szCs w:val="21"/>
                <w:highlight w:val="none"/>
                <w:lang w:val="en-US" w:eastAsia="zh-CN" w:bidi="ar-SA"/>
              </w:rPr>
              <w:t>中</w:t>
            </w:r>
            <w:r>
              <w:rPr>
                <w:rFonts w:hint="default" w:ascii="Times New Roman" w:hAnsi="Times New Roman" w:eastAsia="宋体" w:cs="Times New Roman"/>
                <w:snapToGrid w:val="0"/>
                <w:color w:val="auto"/>
                <w:kern w:val="0"/>
                <w:sz w:val="24"/>
                <w:szCs w:val="21"/>
                <w:highlight w:val="none"/>
                <w:lang w:val="en-US" w:eastAsia="zh-CN" w:bidi="ar-SA"/>
              </w:rPr>
              <w:t>2</w:t>
            </w:r>
            <w:r>
              <w:rPr>
                <w:rFonts w:ascii="Times New Roman" w:hAnsi="Times New Roman" w:eastAsia="宋体" w:cs="Times New Roman"/>
                <w:snapToGrid w:val="0"/>
                <w:color w:val="auto"/>
                <w:kern w:val="0"/>
                <w:sz w:val="24"/>
                <w:szCs w:val="21"/>
                <w:highlight w:val="none"/>
                <w:lang w:val="en-US" w:eastAsia="zh-CN" w:bidi="ar-SA"/>
              </w:rPr>
              <w:t>类</w:t>
            </w:r>
            <w:r>
              <w:rPr>
                <w:rFonts w:hint="eastAsia" w:cs="Times New Roman"/>
                <w:snapToGrid w:val="0"/>
                <w:color w:val="auto"/>
                <w:kern w:val="0"/>
                <w:sz w:val="24"/>
                <w:szCs w:val="21"/>
                <w:highlight w:val="none"/>
                <w:lang w:val="en-US" w:eastAsia="zh-CN" w:bidi="ar-SA"/>
              </w:rPr>
              <w:t>、</w:t>
            </w:r>
            <w:r>
              <w:rPr>
                <w:rFonts w:hint="default" w:ascii="Times New Roman" w:hAnsi="Times New Roman" w:cs="Times New Roman"/>
                <w:snapToGrid w:val="0"/>
                <w:color w:val="auto"/>
                <w:kern w:val="0"/>
                <w:sz w:val="24"/>
                <w:szCs w:val="21"/>
                <w:highlight w:val="none"/>
                <w:lang w:val="en-US" w:eastAsia="zh-CN" w:bidi="ar-SA"/>
              </w:rPr>
              <w:t>4</w:t>
            </w:r>
            <w:r>
              <w:rPr>
                <w:rFonts w:hint="eastAsia" w:cs="Times New Roman"/>
                <w:snapToGrid w:val="0"/>
                <w:color w:val="auto"/>
                <w:kern w:val="0"/>
                <w:sz w:val="24"/>
                <w:szCs w:val="21"/>
                <w:highlight w:val="none"/>
                <w:lang w:val="en-US" w:eastAsia="zh-CN" w:bidi="ar-SA"/>
              </w:rPr>
              <w:t>a类</w:t>
            </w:r>
            <w:r>
              <w:rPr>
                <w:rFonts w:ascii="Times New Roman" w:hAnsi="Times New Roman" w:eastAsia="宋体" w:cs="Times New Roman"/>
                <w:snapToGrid w:val="0"/>
                <w:color w:val="auto"/>
                <w:kern w:val="0"/>
                <w:sz w:val="24"/>
                <w:szCs w:val="21"/>
                <w:highlight w:val="none"/>
                <w:lang w:val="en-US" w:eastAsia="zh-CN" w:bidi="ar-SA"/>
              </w:rPr>
              <w:t>标准</w:t>
            </w:r>
            <w:r>
              <w:rPr>
                <w:rFonts w:hint="eastAsia" w:ascii="Times New Roman" w:hAnsi="Times New Roman" w:eastAsia="宋体" w:cs="Times New Roman"/>
                <w:snapToGrid w:val="0"/>
                <w:color w:val="auto"/>
                <w:kern w:val="0"/>
                <w:sz w:val="24"/>
                <w:szCs w:val="21"/>
                <w:highlight w:val="none"/>
                <w:lang w:val="en-US" w:eastAsia="zh-CN" w:bidi="ar-SA"/>
              </w:rPr>
              <w:t>。</w:t>
            </w:r>
            <w:r>
              <w:rPr>
                <w:rFonts w:ascii="Times New Roman" w:hAnsi="Times New Roman" w:eastAsia="宋体" w:cs="Times New Roman"/>
                <w:snapToGrid w:val="0"/>
                <w:color w:val="auto"/>
                <w:kern w:val="0"/>
                <w:sz w:val="24"/>
                <w:szCs w:val="21"/>
                <w:highlight w:val="none"/>
                <w:lang w:val="en-US" w:eastAsia="zh-CN" w:bidi="ar-SA"/>
              </w:rPr>
              <w:t>项目产生的噪声可以被周围环境接受。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default" w:ascii="Times New Roman" w:hAnsi="Times New Roman" w:cs="Times New Roman"/>
                <w:color w:val="auto"/>
                <w:sz w:val="24"/>
                <w:highlight w:val="none"/>
                <w:lang w:val="en-US" w:eastAsia="zh-CN"/>
              </w:rPr>
              <w:t>5</w:t>
            </w:r>
            <w:r>
              <w:rPr>
                <w:rFonts w:hint="eastAsia"/>
                <w:color w:val="auto"/>
                <w:sz w:val="24"/>
                <w:highlight w:val="none"/>
              </w:rPr>
              <w:t>、</w:t>
            </w:r>
            <w:r>
              <w:rPr>
                <w:color w:val="auto"/>
                <w:sz w:val="24"/>
                <w:highlight w:val="none"/>
              </w:rPr>
              <w:t>监测要求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根据《排污</w:t>
            </w:r>
            <w:r>
              <w:rPr>
                <w:rFonts w:hint="eastAsia"/>
                <w:color w:val="auto"/>
                <w:sz w:val="24"/>
                <w:highlight w:val="none"/>
              </w:rPr>
              <w:t>单位自行监测技术指南 总则</w:t>
            </w:r>
            <w:r>
              <w:rPr>
                <w:color w:val="auto"/>
                <w:sz w:val="24"/>
                <w:highlight w:val="none"/>
              </w:rPr>
              <w:t>》（</w:t>
            </w:r>
            <w:r>
              <w:rPr>
                <w:rFonts w:hint="default" w:ascii="Times New Roman" w:hAnsi="Times New Roman" w:cs="Times New Roman"/>
                <w:color w:val="auto"/>
                <w:sz w:val="24"/>
                <w:highlight w:val="none"/>
              </w:rPr>
              <w:t>HJ819</w:t>
            </w:r>
            <w:r>
              <w:rPr>
                <w:rFonts w:hint="eastAsia"/>
                <w:color w:val="auto"/>
                <w:sz w:val="24"/>
                <w:highlight w:val="none"/>
              </w:rPr>
              <w:t>-</w:t>
            </w:r>
            <w:r>
              <w:rPr>
                <w:rFonts w:hint="default" w:ascii="Times New Roman" w:hAnsi="Times New Roman" w:cs="Times New Roman"/>
                <w:color w:val="auto"/>
                <w:sz w:val="24"/>
                <w:highlight w:val="none"/>
              </w:rPr>
              <w:t>2017</w:t>
            </w:r>
            <w:r>
              <w:rPr>
                <w:color w:val="auto"/>
                <w:sz w:val="24"/>
                <w:highlight w:val="none"/>
              </w:rPr>
              <w:t>）</w:t>
            </w:r>
            <w:r>
              <w:rPr>
                <w:rFonts w:hint="eastAsia"/>
                <w:color w:val="auto"/>
                <w:sz w:val="24"/>
                <w:highlight w:val="none"/>
              </w:rPr>
              <w:t>，本项目噪声监测计划如下：</w:t>
            </w:r>
          </w:p>
          <w:p>
            <w:pPr>
              <w:pStyle w:val="139"/>
              <w:spacing w:beforeLines="50" w:line="240" w:lineRule="auto"/>
              <w:ind w:left="0" w:leftChars="0" w:firstLine="0" w:firstLineChars="0"/>
              <w:jc w:val="center"/>
              <w:rPr>
                <w:rFonts w:hint="eastAsia"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rPr>
              <w:t>表</w:t>
            </w:r>
            <w:r>
              <w:rPr>
                <w:rFonts w:hint="default" w:ascii="Times New Roman" w:hAnsi="Times New Roman" w:eastAsia="宋体" w:cs="Times New Roman"/>
                <w:b/>
                <w:color w:val="auto"/>
                <w:sz w:val="24"/>
                <w:highlight w:val="none"/>
              </w:rPr>
              <w:t>4</w:t>
            </w:r>
            <w:r>
              <w:rPr>
                <w:rFonts w:hint="eastAsia" w:ascii="Times New Roman" w:hAnsi="Times New Roman" w:eastAsia="宋体" w:cs="Times New Roman"/>
                <w:b/>
                <w:color w:val="auto"/>
                <w:sz w:val="24"/>
                <w:highlight w:val="none"/>
              </w:rPr>
              <w:t>-</w:t>
            </w:r>
            <w:r>
              <w:rPr>
                <w:rFonts w:hint="default" w:ascii="Times New Roman" w:hAnsi="Times New Roman" w:cs="Times New Roman"/>
                <w:b/>
                <w:color w:val="auto"/>
                <w:sz w:val="24"/>
                <w:highlight w:val="none"/>
                <w:lang w:val="en-US" w:eastAsia="zh-CN"/>
              </w:rPr>
              <w:t>10</w:t>
            </w:r>
            <w:r>
              <w:rPr>
                <w:rFonts w:hint="eastAsia" w:ascii="Times New Roman" w:hAnsi="Times New Roman" w:eastAsia="宋体" w:cs="Times New Roman"/>
                <w:b/>
                <w:color w:val="auto"/>
                <w:sz w:val="24"/>
                <w:highlight w:val="none"/>
                <w:lang w:val="en-US" w:eastAsia="zh-CN"/>
              </w:rPr>
              <w:t xml:space="preserve"> </w:t>
            </w:r>
            <w:r>
              <w:rPr>
                <w:rFonts w:hint="eastAsia" w:ascii="Times New Roman" w:hAnsi="Times New Roman" w:eastAsia="宋体" w:cs="Times New Roman"/>
                <w:b/>
                <w:color w:val="auto"/>
                <w:sz w:val="24"/>
                <w:highlight w:val="none"/>
              </w:rPr>
              <w:t xml:space="preserve"> 监测要求</w:t>
            </w:r>
          </w:p>
          <w:tbl>
            <w:tblPr>
              <w:tblStyle w:val="32"/>
              <w:tblW w:w="8842" w:type="dxa"/>
              <w:jc w:val="center"/>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71"/>
              <w:gridCol w:w="1638"/>
              <w:gridCol w:w="1598"/>
              <w:gridCol w:w="1288"/>
              <w:gridCol w:w="3347"/>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971" w:type="dxa"/>
                  <w:noWrap/>
                  <w:vAlign w:val="center"/>
                </w:tcPr>
                <w:p>
                  <w:pPr>
                    <w:jc w:val="center"/>
                    <w:rPr>
                      <w:iCs/>
                      <w:color w:val="auto"/>
                      <w:szCs w:val="18"/>
                      <w:highlight w:val="none"/>
                    </w:rPr>
                  </w:pPr>
                  <w:r>
                    <w:rPr>
                      <w:iCs/>
                      <w:color w:val="auto"/>
                      <w:szCs w:val="18"/>
                      <w:highlight w:val="none"/>
                    </w:rPr>
                    <w:t>类别</w:t>
                  </w:r>
                </w:p>
              </w:tc>
              <w:tc>
                <w:tcPr>
                  <w:tcW w:w="1638" w:type="dxa"/>
                  <w:noWrap/>
                  <w:vAlign w:val="center"/>
                </w:tcPr>
                <w:p>
                  <w:pPr>
                    <w:jc w:val="center"/>
                    <w:rPr>
                      <w:iCs/>
                      <w:color w:val="auto"/>
                      <w:szCs w:val="18"/>
                      <w:highlight w:val="none"/>
                    </w:rPr>
                  </w:pPr>
                  <w:r>
                    <w:rPr>
                      <w:iCs/>
                      <w:color w:val="auto"/>
                      <w:szCs w:val="18"/>
                      <w:highlight w:val="none"/>
                    </w:rPr>
                    <w:t>监测点位</w:t>
                  </w:r>
                </w:p>
              </w:tc>
              <w:tc>
                <w:tcPr>
                  <w:tcW w:w="1598" w:type="dxa"/>
                  <w:noWrap/>
                  <w:vAlign w:val="center"/>
                </w:tcPr>
                <w:p>
                  <w:pPr>
                    <w:jc w:val="center"/>
                    <w:rPr>
                      <w:iCs/>
                      <w:color w:val="auto"/>
                      <w:szCs w:val="18"/>
                      <w:highlight w:val="none"/>
                    </w:rPr>
                  </w:pPr>
                  <w:r>
                    <w:rPr>
                      <w:iCs/>
                      <w:color w:val="auto"/>
                      <w:szCs w:val="18"/>
                      <w:highlight w:val="none"/>
                    </w:rPr>
                    <w:t>监测指标</w:t>
                  </w:r>
                </w:p>
              </w:tc>
              <w:tc>
                <w:tcPr>
                  <w:tcW w:w="1288" w:type="dxa"/>
                  <w:noWrap/>
                  <w:vAlign w:val="center"/>
                </w:tcPr>
                <w:p>
                  <w:pPr>
                    <w:jc w:val="center"/>
                    <w:rPr>
                      <w:iCs/>
                      <w:color w:val="auto"/>
                      <w:szCs w:val="18"/>
                      <w:highlight w:val="none"/>
                    </w:rPr>
                  </w:pPr>
                  <w:r>
                    <w:rPr>
                      <w:iCs/>
                      <w:color w:val="auto"/>
                      <w:szCs w:val="18"/>
                      <w:highlight w:val="none"/>
                    </w:rPr>
                    <w:t>监测频次</w:t>
                  </w:r>
                </w:p>
              </w:tc>
              <w:tc>
                <w:tcPr>
                  <w:tcW w:w="3347" w:type="dxa"/>
                  <w:noWrap/>
                  <w:vAlign w:val="center"/>
                </w:tcPr>
                <w:p>
                  <w:pPr>
                    <w:jc w:val="center"/>
                    <w:rPr>
                      <w:iCs/>
                      <w:color w:val="auto"/>
                      <w:szCs w:val="18"/>
                      <w:highlight w:val="none"/>
                    </w:rPr>
                  </w:pPr>
                  <w:r>
                    <w:rPr>
                      <w:iCs/>
                      <w:color w:val="auto"/>
                      <w:szCs w:val="18"/>
                      <w:highlight w:val="none"/>
                    </w:rPr>
                    <w:t>执行排放标准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971" w:type="dxa"/>
                  <w:noWrap/>
                  <w:vAlign w:val="center"/>
                </w:tcPr>
                <w:p>
                  <w:pPr>
                    <w:jc w:val="center"/>
                    <w:rPr>
                      <w:iCs/>
                      <w:color w:val="auto"/>
                      <w:szCs w:val="18"/>
                      <w:highlight w:val="none"/>
                    </w:rPr>
                  </w:pPr>
                  <w:r>
                    <w:rPr>
                      <w:iCs/>
                      <w:color w:val="auto"/>
                      <w:szCs w:val="18"/>
                      <w:highlight w:val="none"/>
                    </w:rPr>
                    <w:t>噪声</w:t>
                  </w:r>
                </w:p>
              </w:tc>
              <w:tc>
                <w:tcPr>
                  <w:tcW w:w="1638" w:type="dxa"/>
                  <w:noWrap/>
                  <w:vAlign w:val="center"/>
                </w:tcPr>
                <w:p>
                  <w:pPr>
                    <w:jc w:val="center"/>
                    <w:rPr>
                      <w:iCs/>
                      <w:color w:val="auto"/>
                      <w:szCs w:val="18"/>
                      <w:highlight w:val="none"/>
                    </w:rPr>
                  </w:pPr>
                  <w:r>
                    <w:rPr>
                      <w:iCs/>
                      <w:color w:val="auto"/>
                      <w:szCs w:val="18"/>
                      <w:highlight w:val="none"/>
                    </w:rPr>
                    <w:t>厂界</w:t>
                  </w:r>
                </w:p>
              </w:tc>
              <w:tc>
                <w:tcPr>
                  <w:tcW w:w="1598" w:type="dxa"/>
                  <w:noWrap/>
                  <w:vAlign w:val="center"/>
                </w:tcPr>
                <w:p>
                  <w:pPr>
                    <w:jc w:val="center"/>
                    <w:rPr>
                      <w:iCs/>
                      <w:color w:val="auto"/>
                      <w:szCs w:val="18"/>
                      <w:highlight w:val="none"/>
                    </w:rPr>
                  </w:pPr>
                  <w:r>
                    <w:rPr>
                      <w:rFonts w:hint="default" w:ascii="Times New Roman" w:hAnsi="Times New Roman" w:cs="Times New Roman"/>
                      <w:iCs/>
                      <w:color w:val="auto"/>
                      <w:szCs w:val="18"/>
                      <w:highlight w:val="none"/>
                    </w:rPr>
                    <w:t>Leq</w:t>
                  </w:r>
                  <w:r>
                    <w:rPr>
                      <w:iCs/>
                      <w:color w:val="auto"/>
                      <w:szCs w:val="18"/>
                      <w:highlight w:val="none"/>
                    </w:rPr>
                    <w:t>（</w:t>
                  </w:r>
                  <w:r>
                    <w:rPr>
                      <w:rFonts w:hint="default" w:ascii="Times New Roman" w:hAnsi="Times New Roman" w:cs="Times New Roman"/>
                      <w:iCs/>
                      <w:color w:val="auto"/>
                      <w:szCs w:val="18"/>
                      <w:highlight w:val="none"/>
                    </w:rPr>
                    <w:t>A</w:t>
                  </w:r>
                  <w:r>
                    <w:rPr>
                      <w:iCs/>
                      <w:color w:val="auto"/>
                      <w:szCs w:val="18"/>
                      <w:highlight w:val="none"/>
                    </w:rPr>
                    <w:t>）</w:t>
                  </w:r>
                </w:p>
              </w:tc>
              <w:tc>
                <w:tcPr>
                  <w:tcW w:w="1288" w:type="dxa"/>
                  <w:noWrap/>
                  <w:vAlign w:val="center"/>
                </w:tcPr>
                <w:p>
                  <w:pPr>
                    <w:jc w:val="center"/>
                    <w:rPr>
                      <w:iCs/>
                      <w:color w:val="auto"/>
                      <w:szCs w:val="18"/>
                      <w:highlight w:val="none"/>
                    </w:rPr>
                  </w:pPr>
                  <w:r>
                    <w:rPr>
                      <w:rFonts w:hint="default" w:ascii="Times New Roman" w:hAnsi="Times New Roman" w:cs="Times New Roman"/>
                      <w:iCs/>
                      <w:color w:val="auto"/>
                      <w:szCs w:val="18"/>
                      <w:highlight w:val="none"/>
                    </w:rPr>
                    <w:t>1</w:t>
                  </w:r>
                  <w:r>
                    <w:rPr>
                      <w:iCs/>
                      <w:color w:val="auto"/>
                      <w:szCs w:val="18"/>
                      <w:highlight w:val="none"/>
                    </w:rPr>
                    <w:t>次/</w:t>
                  </w:r>
                  <w:r>
                    <w:rPr>
                      <w:rFonts w:hint="eastAsia"/>
                      <w:iCs/>
                      <w:color w:val="auto"/>
                      <w:szCs w:val="18"/>
                      <w:highlight w:val="none"/>
                    </w:rPr>
                    <w:t>季</w:t>
                  </w:r>
                </w:p>
              </w:tc>
              <w:tc>
                <w:tcPr>
                  <w:tcW w:w="3347" w:type="dxa"/>
                  <w:noWrap/>
                  <w:vAlign w:val="center"/>
                </w:tcPr>
                <w:p>
                  <w:pPr>
                    <w:jc w:val="center"/>
                    <w:rPr>
                      <w:iCs/>
                      <w:color w:val="auto"/>
                      <w:szCs w:val="18"/>
                      <w:highlight w:val="none"/>
                    </w:rPr>
                  </w:pPr>
                  <w:r>
                    <w:rPr>
                      <w:iCs/>
                      <w:color w:val="auto"/>
                      <w:szCs w:val="18"/>
                      <w:highlight w:val="none"/>
                    </w:rPr>
                    <w:t>《工业企业厂界环境噪声排放标准》（</w:t>
                  </w:r>
                  <w:r>
                    <w:rPr>
                      <w:rFonts w:hint="default" w:ascii="Times New Roman" w:hAnsi="Times New Roman" w:cs="Times New Roman"/>
                      <w:iCs/>
                      <w:color w:val="auto"/>
                      <w:szCs w:val="18"/>
                      <w:highlight w:val="none"/>
                    </w:rPr>
                    <w:t>GB12348</w:t>
                  </w:r>
                  <w:r>
                    <w:rPr>
                      <w:iCs/>
                      <w:color w:val="auto"/>
                      <w:szCs w:val="18"/>
                      <w:highlight w:val="none"/>
                    </w:rPr>
                    <w:t>-</w:t>
                  </w:r>
                  <w:r>
                    <w:rPr>
                      <w:rFonts w:hint="default" w:ascii="Times New Roman" w:hAnsi="Times New Roman" w:cs="Times New Roman"/>
                      <w:iCs/>
                      <w:color w:val="auto"/>
                      <w:szCs w:val="18"/>
                      <w:highlight w:val="none"/>
                    </w:rPr>
                    <w:t>2008</w:t>
                  </w:r>
                  <w:r>
                    <w:rPr>
                      <w:iCs/>
                      <w:color w:val="auto"/>
                      <w:szCs w:val="18"/>
                      <w:highlight w:val="none"/>
                    </w:rPr>
                    <w:t>）</w:t>
                  </w:r>
                  <w:r>
                    <w:rPr>
                      <w:rFonts w:hint="default" w:ascii="Times New Roman" w:hAnsi="Times New Roman" w:cs="Times New Roman"/>
                      <w:iCs/>
                      <w:color w:val="auto"/>
                      <w:szCs w:val="18"/>
                      <w:highlight w:val="none"/>
                    </w:rPr>
                    <w:t>2</w:t>
                  </w:r>
                  <w:r>
                    <w:rPr>
                      <w:rFonts w:hint="eastAsia"/>
                      <w:iCs/>
                      <w:color w:val="auto"/>
                      <w:szCs w:val="18"/>
                      <w:highlight w:val="none"/>
                      <w:lang w:eastAsia="zh-CN"/>
                    </w:rPr>
                    <w:t>、</w:t>
                  </w:r>
                  <w:r>
                    <w:rPr>
                      <w:rFonts w:hint="default" w:ascii="Times New Roman" w:hAnsi="Times New Roman" w:cs="Times New Roman"/>
                      <w:iCs/>
                      <w:color w:val="auto"/>
                      <w:szCs w:val="18"/>
                      <w:highlight w:val="none"/>
                      <w:lang w:val="en-US" w:eastAsia="zh-CN"/>
                    </w:rPr>
                    <w:t>4</w:t>
                  </w:r>
                  <w:r>
                    <w:rPr>
                      <w:rFonts w:hint="eastAsia" w:cs="Times New Roman"/>
                      <w:iCs/>
                      <w:color w:val="auto"/>
                      <w:szCs w:val="18"/>
                      <w:highlight w:val="none"/>
                      <w:lang w:val="en-US" w:eastAsia="zh-CN"/>
                    </w:rPr>
                    <w:t>a</w:t>
                  </w:r>
                  <w:r>
                    <w:rPr>
                      <w:iCs/>
                      <w:color w:val="auto"/>
                      <w:szCs w:val="18"/>
                      <w:highlight w:val="none"/>
                    </w:rPr>
                    <w:t>类标准</w:t>
                  </w:r>
                </w:p>
              </w:tc>
            </w:tr>
          </w:tbl>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bCs/>
                <w:color w:val="auto"/>
                <w:sz w:val="24"/>
                <w:highlight w:val="none"/>
              </w:rPr>
            </w:pPr>
            <w:r>
              <w:rPr>
                <w:rFonts w:hint="eastAsia"/>
                <w:b/>
                <w:color w:val="auto"/>
                <w:sz w:val="24"/>
                <w:highlight w:val="none"/>
              </w:rPr>
              <w:t>四、</w:t>
            </w:r>
            <w:r>
              <w:rPr>
                <w:b/>
                <w:color w:val="auto"/>
                <w:sz w:val="24"/>
                <w:highlight w:val="none"/>
              </w:rPr>
              <w:t>固体废物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eastAsia="宋体" w:cs="Times New Roman"/>
                <w:b w:val="0"/>
                <w:bCs/>
                <w:color w:val="auto"/>
                <w:sz w:val="24"/>
                <w:highlight w:val="none"/>
              </w:rPr>
              <w:t>项目产生固体废物主要为生活垃圾</w:t>
            </w:r>
            <w:r>
              <w:rPr>
                <w:rFonts w:hint="default" w:ascii="Times New Roman" w:hAnsi="Times New Roman" w:eastAsia="宋体" w:cs="Times New Roman"/>
                <w:b w:val="0"/>
                <w:bCs/>
                <w:color w:val="auto"/>
                <w:sz w:val="24"/>
                <w:highlight w:val="none"/>
                <w:lang w:eastAsia="zh-CN"/>
              </w:rPr>
              <w:t>、</w:t>
            </w:r>
            <w:r>
              <w:rPr>
                <w:rFonts w:hint="eastAsia" w:cs="Times New Roman"/>
                <w:b w:val="0"/>
                <w:bCs/>
                <w:color w:val="auto"/>
                <w:sz w:val="24"/>
                <w:highlight w:val="none"/>
                <w:lang w:val="en-US" w:eastAsia="zh-CN"/>
              </w:rPr>
              <w:t>实验室废料、</w:t>
            </w:r>
            <w:r>
              <w:rPr>
                <w:rFonts w:hint="default" w:ascii="Times New Roman" w:hAnsi="Times New Roman" w:eastAsia="宋体" w:cs="Times New Roman"/>
                <w:b w:val="0"/>
                <w:bCs/>
                <w:color w:val="auto"/>
                <w:sz w:val="24"/>
                <w:highlight w:val="none"/>
                <w:lang w:eastAsia="zh-CN"/>
              </w:rPr>
              <w:t>布袋除尘器收集的粉尘、废布袋、</w:t>
            </w:r>
            <w:r>
              <w:rPr>
                <w:rFonts w:hint="eastAsia" w:cs="Times New Roman"/>
                <w:b w:val="0"/>
                <w:bCs/>
                <w:color w:val="auto"/>
                <w:sz w:val="24"/>
                <w:highlight w:val="none"/>
                <w:lang w:val="en-US" w:eastAsia="zh-CN"/>
              </w:rPr>
              <w:t>沉淀池沉渣</w:t>
            </w:r>
            <w:r>
              <w:rPr>
                <w:rFonts w:hint="default" w:ascii="Times New Roman" w:hAnsi="Times New Roman" w:eastAsia="宋体" w:cs="Times New Roman"/>
                <w:b w:val="0"/>
                <w:bCs/>
                <w:color w:val="auto"/>
                <w:sz w:val="24"/>
                <w:highlight w:val="none"/>
              </w:rPr>
              <w:t>。</w:t>
            </w:r>
          </w:p>
          <w:p>
            <w:pPr>
              <w:numPr>
                <w:ilvl w:val="0"/>
                <w:numId w:val="3"/>
              </w:numPr>
              <w:spacing w:line="360" w:lineRule="auto"/>
              <w:ind w:firstLine="480" w:firstLineChars="200"/>
              <w:rPr>
                <w:rFonts w:hint="default" w:ascii="Times New Roman" w:hAnsi="Times New Roman" w:cs="Times New Roman"/>
                <w:color w:val="auto"/>
                <w:kern w:val="0"/>
                <w:sz w:val="24"/>
                <w:highlight w:val="none"/>
                <w:lang w:eastAsia="zh-CN"/>
              </w:rPr>
            </w:pPr>
            <w:r>
              <w:rPr>
                <w:rFonts w:hint="eastAsia"/>
                <w:color w:val="auto"/>
                <w:sz w:val="24"/>
                <w:highlight w:val="none"/>
                <w:lang w:val="en-US" w:eastAsia="zh-CN"/>
              </w:rPr>
              <w:t>固体废物产生情况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1</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生活垃圾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本项目劳动定员</w:t>
            </w:r>
            <w:r>
              <w:rPr>
                <w:rFonts w:hint="eastAsia" w:cs="Times New Roman"/>
                <w:color w:val="auto"/>
                <w:kern w:val="0"/>
                <w:sz w:val="24"/>
                <w:highlight w:val="none"/>
                <w:lang w:val="en-US" w:eastAsia="zh-CN"/>
              </w:rPr>
              <w:t>10</w:t>
            </w:r>
            <w:r>
              <w:rPr>
                <w:rFonts w:hint="default" w:ascii="Times New Roman" w:hAnsi="Times New Roman" w:cs="Times New Roman"/>
                <w:color w:val="auto"/>
                <w:kern w:val="0"/>
                <w:sz w:val="24"/>
                <w:highlight w:val="none"/>
              </w:rPr>
              <w:t>人，按0.</w:t>
            </w:r>
            <w:r>
              <w:rPr>
                <w:rFonts w:hint="default" w:ascii="Times New Roman" w:hAnsi="Times New Roman"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kg/d·人产生量计算，则年产生垃圾量约为</w:t>
            </w:r>
            <w:r>
              <w:rPr>
                <w:rFonts w:hint="eastAsia" w:cs="Times New Roman"/>
                <w:color w:val="auto"/>
                <w:kern w:val="0"/>
                <w:sz w:val="24"/>
                <w:highlight w:val="none"/>
                <w:lang w:val="en-US" w:eastAsia="zh-CN"/>
              </w:rPr>
              <w:t>0.5</w:t>
            </w:r>
            <w:r>
              <w:rPr>
                <w:rFonts w:hint="default" w:ascii="Times New Roman" w:hAnsi="Times New Roman" w:cs="Times New Roman"/>
                <w:color w:val="auto"/>
                <w:kern w:val="0"/>
                <w:sz w:val="24"/>
                <w:highlight w:val="none"/>
              </w:rPr>
              <w:t>t/a。生活垃圾集中收集，由市政部门统一处置。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2</w:t>
            </w:r>
            <w:r>
              <w:rPr>
                <w:rFonts w:hint="eastAsia" w:ascii="Times New Roman" w:hAnsi="Times New Roman" w:cs="Times New Roman"/>
                <w:color w:val="auto"/>
                <w:kern w:val="0"/>
                <w:sz w:val="24"/>
                <w:highlight w:val="none"/>
                <w:lang w:val="en-US" w:eastAsia="zh-CN"/>
              </w:rPr>
              <w:t>）实验室废料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项目需对混凝土进行强度试验，进行简单的成品抽样检测试验，为物理实验，不涉及化学品的使用，会产生一定量的试验混凝土，产生量约为</w:t>
            </w:r>
            <w:r>
              <w:rPr>
                <w:rFonts w:hint="eastAsia" w:cs="Times New Roman"/>
                <w:color w:val="auto"/>
                <w:kern w:val="0"/>
                <w:sz w:val="24"/>
                <w:highlight w:val="none"/>
                <w:lang w:val="en-US" w:eastAsia="zh-CN"/>
              </w:rPr>
              <w:t>298.5</w:t>
            </w:r>
            <w:r>
              <w:rPr>
                <w:rFonts w:hint="default" w:ascii="Times New Roman" w:hAnsi="Times New Roman" w:cs="Times New Roman"/>
                <w:color w:val="auto"/>
                <w:kern w:val="0"/>
                <w:sz w:val="24"/>
                <w:highlight w:val="none"/>
                <w:lang w:val="en-US" w:eastAsia="zh-CN"/>
              </w:rPr>
              <w:t>t</w:t>
            </w:r>
            <w:r>
              <w:rPr>
                <w:rFonts w:hint="eastAsia"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a</w:t>
            </w:r>
            <w:r>
              <w:rPr>
                <w:rFonts w:hint="eastAsia" w:ascii="Times New Roman" w:hAnsi="Times New Roman" w:cs="Times New Roman"/>
                <w:color w:val="auto"/>
                <w:kern w:val="0"/>
                <w:sz w:val="24"/>
                <w:highlight w:val="none"/>
                <w:lang w:val="en-US" w:eastAsia="zh-CN"/>
              </w:rPr>
              <w:t>，产生的实验室废料集中收集后收集后外售用于修筑道路。</w:t>
            </w:r>
          </w:p>
          <w:p>
            <w:pPr>
              <w:pStyle w:val="130"/>
              <w:numPr>
                <w:ilvl w:val="0"/>
                <w:numId w:val="0"/>
              </w:numPr>
              <w:spacing w:line="360" w:lineRule="auto"/>
              <w:ind w:firstLine="480" w:firstLineChars="200"/>
              <w:jc w:val="both"/>
              <w:outlineLvl w:val="9"/>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3</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highlight w:val="none"/>
                <w:lang w:val="en-US" w:eastAsia="zh-CN"/>
              </w:rPr>
              <w:t>布袋除尘器收集粉尘</w:t>
            </w:r>
          </w:p>
          <w:p>
            <w:pPr>
              <w:pStyle w:val="130"/>
              <w:numPr>
                <w:ilvl w:val="0"/>
                <w:numId w:val="0"/>
              </w:numPr>
              <w:spacing w:line="360" w:lineRule="auto"/>
              <w:ind w:firstLine="480" w:firstLineChars="200"/>
              <w:jc w:val="both"/>
              <w:outlineLvl w:val="9"/>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项目水泥筒仓配备有仓顶布袋除尘器,根据工程分析，除尘器收集粉尘量为</w:t>
            </w:r>
            <w:r>
              <w:rPr>
                <w:rFonts w:hint="eastAsia" w:cs="Times New Roman"/>
                <w:b w:val="0"/>
                <w:bCs/>
                <w:color w:val="auto"/>
                <w:sz w:val="24"/>
                <w:highlight w:val="none"/>
                <w:lang w:val="en-US" w:eastAsia="zh-CN"/>
              </w:rPr>
              <w:t>5.9</w:t>
            </w:r>
            <w:r>
              <w:rPr>
                <w:rFonts w:hint="default" w:ascii="Times New Roman" w:hAnsi="Times New Roman" w:eastAsia="宋体" w:cs="Times New Roman"/>
                <w:b w:val="0"/>
                <w:bCs/>
                <w:color w:val="auto"/>
                <w:sz w:val="24"/>
                <w:highlight w:val="none"/>
                <w:lang w:val="en-US" w:eastAsia="zh-CN"/>
              </w:rPr>
              <w:t>t/a</w:t>
            </w:r>
            <w:r>
              <w:rPr>
                <w:rFonts w:hint="eastAsia" w:ascii="Times New Roman" w:hAnsi="Times New Roman"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收集的粉尘</w:t>
            </w:r>
            <w:r>
              <w:rPr>
                <w:rFonts w:hint="eastAsia" w:ascii="Times New Roman" w:hAnsi="Times New Roman" w:eastAsia="宋体" w:cs="Times New Roman"/>
                <w:b w:val="0"/>
                <w:bCs/>
                <w:color w:val="auto"/>
                <w:sz w:val="24"/>
                <w:highlight w:val="none"/>
                <w:lang w:val="en-US" w:eastAsia="zh-CN"/>
              </w:rPr>
              <w:t>作为原料直接</w:t>
            </w:r>
            <w:r>
              <w:rPr>
                <w:rFonts w:hint="default" w:ascii="Times New Roman" w:hAnsi="Times New Roman" w:eastAsia="宋体" w:cs="Times New Roman"/>
                <w:b w:val="0"/>
                <w:bCs/>
                <w:color w:val="auto"/>
                <w:sz w:val="24"/>
                <w:highlight w:val="none"/>
                <w:lang w:val="en-US" w:eastAsia="zh-CN"/>
              </w:rPr>
              <w:t>回用于生产工序。</w:t>
            </w:r>
          </w:p>
          <w:p>
            <w:pPr>
              <w:autoSpaceDE w:val="0"/>
              <w:autoSpaceDN w:val="0"/>
              <w:adjustRightIn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4</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SA"/>
              </w:rPr>
              <w:t>废布袋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本项目废气处理设施布袋除尘器需定期更换布袋，根据设计方提供资料，</w:t>
            </w:r>
            <w:r>
              <w:rPr>
                <w:rFonts w:hint="eastAsia" w:cs="Times New Roman"/>
                <w:color w:val="auto"/>
                <w:sz w:val="24"/>
                <w:highlight w:val="none"/>
                <w:lang w:val="en-US" w:eastAsia="zh-CN"/>
              </w:rPr>
              <w:t>每</w:t>
            </w:r>
            <w:r>
              <w:rPr>
                <w:rFonts w:hint="default" w:ascii="Times New Roman" w:hAnsi="Times New Roman" w:eastAsia="宋体" w:cs="Times New Roman"/>
                <w:color w:val="auto"/>
                <w:sz w:val="24"/>
                <w:highlight w:val="none"/>
                <w:lang w:val="en-US" w:eastAsia="zh-CN"/>
              </w:rPr>
              <w:t>年更换1次，废布袋属于一般固废，产生量为0.</w:t>
            </w:r>
            <w:r>
              <w:rPr>
                <w:rFonts w:hint="default"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废弃布袋集中收集后</w:t>
            </w:r>
            <w:r>
              <w:rPr>
                <w:rFonts w:hint="eastAsia" w:cs="Times New Roman"/>
                <w:color w:val="auto"/>
                <w:sz w:val="24"/>
                <w:highlight w:val="none"/>
                <w:lang w:val="en-US" w:eastAsia="zh-CN"/>
              </w:rPr>
              <w:t>由厂家回收</w:t>
            </w:r>
            <w:r>
              <w:rPr>
                <w:rFonts w:hint="default" w:ascii="Times New Roman" w:hAnsi="Times New Roman" w:eastAsia="宋体" w:cs="Times New Roman"/>
                <w:color w:val="auto"/>
                <w:sz w:val="24"/>
                <w:highlight w:val="none"/>
                <w:lang w:val="en-US" w:eastAsia="zh-CN"/>
              </w:rPr>
              <w:t>。</w:t>
            </w:r>
          </w:p>
          <w:p>
            <w:pPr>
              <w:pStyle w:val="81"/>
              <w:spacing w:line="360" w:lineRule="auto"/>
              <w:ind w:firstLine="480"/>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w:t>
            </w:r>
            <w:r>
              <w:rPr>
                <w:rFonts w:hint="default" w:ascii="Times New Roman" w:hAnsi="Times New Roman" w:cs="Times New Roman"/>
                <w:b w:val="0"/>
                <w:bCs w:val="0"/>
                <w:color w:val="auto"/>
                <w:sz w:val="24"/>
                <w:highlight w:val="none"/>
                <w:lang w:val="en-US" w:eastAsia="zh-CN"/>
              </w:rPr>
              <w:t>5</w:t>
            </w:r>
            <w:r>
              <w:rPr>
                <w:rFonts w:hint="eastAsia" w:cs="Times New Roman"/>
                <w:b w:val="0"/>
                <w:bCs w:val="0"/>
                <w:color w:val="auto"/>
                <w:sz w:val="24"/>
                <w:highlight w:val="none"/>
                <w:lang w:val="en-US" w:eastAsia="zh-CN"/>
              </w:rPr>
              <w:t>）</w:t>
            </w:r>
            <w:r>
              <w:rPr>
                <w:color w:val="auto"/>
                <w:highlight w:val="none"/>
              </w:rPr>
              <w:t>沉淀池沉渣</w:t>
            </w:r>
          </w:p>
          <w:p>
            <w:pPr>
              <w:pStyle w:val="81"/>
              <w:spacing w:line="360" w:lineRule="auto"/>
              <w:ind w:firstLine="480"/>
              <w:rPr>
                <w:rFonts w:hint="default" w:ascii="Times New Roman" w:hAnsi="Times New Roman" w:eastAsia="宋体" w:cs="Times New Roman"/>
                <w:b w:val="0"/>
                <w:bCs w:val="0"/>
                <w:color w:val="auto"/>
                <w:sz w:val="24"/>
                <w:highlight w:val="none"/>
                <w:lang w:val="en-US" w:eastAsia="zh-CN"/>
              </w:rPr>
            </w:pPr>
            <w:r>
              <w:rPr>
                <w:color w:val="auto"/>
                <w:highlight w:val="none"/>
              </w:rPr>
              <w:t>沉淀池沉渣的产生量约为</w:t>
            </w:r>
            <w:r>
              <w:rPr>
                <w:rFonts w:hint="eastAsia" w:cs="Times New Roman"/>
                <w:color w:val="auto"/>
                <w:highlight w:val="none"/>
                <w:lang w:val="en-US" w:eastAsia="zh-CN"/>
              </w:rPr>
              <w:t>10</w:t>
            </w:r>
            <w:r>
              <w:rPr>
                <w:rFonts w:hint="default" w:ascii="Times New Roman" w:hAnsi="Times New Roman" w:cs="Times New Roman"/>
                <w:color w:val="auto"/>
                <w:highlight w:val="none"/>
              </w:rPr>
              <w:t>t</w:t>
            </w:r>
            <w:r>
              <w:rPr>
                <w:color w:val="auto"/>
                <w:highlight w:val="none"/>
              </w:rPr>
              <w:t>/</w:t>
            </w:r>
            <w:r>
              <w:rPr>
                <w:rFonts w:hint="default" w:ascii="Times New Roman" w:hAnsi="Times New Roman" w:cs="Times New Roman"/>
                <w:color w:val="auto"/>
                <w:highlight w:val="none"/>
              </w:rPr>
              <w:t>a</w:t>
            </w:r>
            <w:r>
              <w:rPr>
                <w:color w:val="auto"/>
                <w:highlight w:val="none"/>
              </w:rPr>
              <w:t>，集中</w:t>
            </w:r>
            <w:bookmarkStart w:id="24" w:name="_Hlk110436373"/>
            <w:r>
              <w:rPr>
                <w:color w:val="auto"/>
                <w:highlight w:val="none"/>
              </w:rPr>
              <w:t>收集，不进行储存，</w:t>
            </w:r>
            <w:r>
              <w:rPr>
                <w:rFonts w:hint="eastAsia"/>
                <w:color w:val="auto"/>
                <w:highlight w:val="none"/>
                <w:lang w:val="en-US" w:eastAsia="zh-CN"/>
              </w:rPr>
              <w:t>经砂石分离后</w:t>
            </w:r>
            <w:r>
              <w:rPr>
                <w:color w:val="auto"/>
                <w:highlight w:val="none"/>
              </w:rPr>
              <w:t>及时</w:t>
            </w:r>
            <w:r>
              <w:rPr>
                <w:rFonts w:hAnsi="宋体"/>
                <w:snapToGrid w:val="0"/>
                <w:color w:val="auto"/>
                <w:kern w:val="0"/>
                <w:szCs w:val="24"/>
                <w:highlight w:val="none"/>
              </w:rPr>
              <w:t>回用于生产</w:t>
            </w:r>
            <w:bookmarkEnd w:id="24"/>
            <w:r>
              <w:rPr>
                <w:color w:val="auto"/>
                <w:highlight w:val="none"/>
              </w:rPr>
              <w:t>。</w:t>
            </w:r>
          </w:p>
          <w:p>
            <w:pPr>
              <w:spacing w:line="360" w:lineRule="auto"/>
              <w:ind w:firstLine="480" w:firstLineChars="200"/>
              <w:rPr>
                <w:color w:val="auto"/>
                <w:highlight w:val="none"/>
              </w:rPr>
            </w:pPr>
            <w:r>
              <w:rPr>
                <w:rFonts w:hint="eastAsia"/>
                <w:color w:val="auto"/>
                <w:sz w:val="24"/>
                <w:highlight w:val="none"/>
              </w:rPr>
              <w:t>本项目固体废物污染源源强核算及相关参数见表</w:t>
            </w:r>
            <w:r>
              <w:rPr>
                <w:rFonts w:hint="default" w:ascii="Times New Roman" w:hAnsi="Times New Roman" w:cs="Times New Roman"/>
                <w:color w:val="auto"/>
                <w:sz w:val="24"/>
                <w:highlight w:val="none"/>
              </w:rPr>
              <w:t>4</w:t>
            </w:r>
            <w:r>
              <w:rPr>
                <w:rFonts w:hint="eastAsia"/>
                <w:color w:val="auto"/>
                <w:sz w:val="24"/>
                <w:highlight w:val="none"/>
              </w:rPr>
              <w:t>-</w:t>
            </w:r>
            <w:r>
              <w:rPr>
                <w:rFonts w:hint="default" w:ascii="Times New Roman" w:hAnsi="Times New Roman" w:cs="Times New Roman"/>
                <w:color w:val="auto"/>
                <w:sz w:val="24"/>
                <w:highlight w:val="none"/>
                <w:lang w:val="en-US" w:eastAsia="zh-CN"/>
              </w:rPr>
              <w:t>11</w:t>
            </w:r>
            <w:r>
              <w:rPr>
                <w:rFonts w:hint="eastAsia"/>
                <w:color w:val="auto"/>
                <w:sz w:val="24"/>
                <w:highlight w:val="none"/>
              </w:rPr>
              <w:t>。</w:t>
            </w:r>
          </w:p>
          <w:p>
            <w:pPr>
              <w:pStyle w:val="10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color w:val="auto"/>
                <w:highlight w:val="none"/>
                <w:lang w:val="en-US" w:eastAsia="zh-CN"/>
              </w:rPr>
            </w:pPr>
            <w:r>
              <w:rPr>
                <w:rFonts w:hint="eastAsia"/>
                <w:b/>
                <w:bCs/>
                <w:color w:val="auto"/>
                <w:kern w:val="0"/>
                <w:sz w:val="24"/>
                <w:highlight w:val="none"/>
              </w:rPr>
              <w:t>表</w:t>
            </w:r>
            <w:r>
              <w:rPr>
                <w:rFonts w:hint="default" w:ascii="Times New Roman" w:hAnsi="Times New Roman" w:cs="Times New Roman"/>
                <w:b/>
                <w:bCs/>
                <w:color w:val="auto"/>
                <w:kern w:val="0"/>
                <w:sz w:val="24"/>
                <w:highlight w:val="none"/>
              </w:rPr>
              <w:t>4</w:t>
            </w:r>
            <w:r>
              <w:rPr>
                <w:rFonts w:hint="eastAsia"/>
                <w:b/>
                <w:bCs/>
                <w:color w:val="auto"/>
                <w:kern w:val="0"/>
                <w:sz w:val="24"/>
                <w:highlight w:val="none"/>
              </w:rPr>
              <w:t>-</w:t>
            </w:r>
            <w:r>
              <w:rPr>
                <w:rFonts w:hint="default" w:ascii="Times New Roman" w:hAnsi="Times New Roman" w:cs="Times New Roman"/>
                <w:b/>
                <w:bCs/>
                <w:color w:val="auto"/>
                <w:kern w:val="0"/>
                <w:sz w:val="24"/>
                <w:highlight w:val="none"/>
                <w:lang w:val="en-US" w:eastAsia="zh-CN"/>
              </w:rPr>
              <w:t>11</w:t>
            </w:r>
            <w:r>
              <w:rPr>
                <w:rFonts w:hint="eastAsia"/>
                <w:b/>
                <w:bCs/>
                <w:color w:val="auto"/>
                <w:kern w:val="0"/>
                <w:sz w:val="24"/>
                <w:highlight w:val="none"/>
              </w:rPr>
              <w:t xml:space="preserve">  固体废物源强一览表</w:t>
            </w:r>
          </w:p>
          <w:tbl>
            <w:tblPr>
              <w:tblStyle w:val="33"/>
              <w:tblW w:w="88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222"/>
              <w:gridCol w:w="973"/>
              <w:gridCol w:w="1440"/>
              <w:gridCol w:w="1064"/>
              <w:gridCol w:w="800"/>
              <w:gridCol w:w="862"/>
              <w:gridCol w:w="19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52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编号</w:t>
                  </w:r>
                </w:p>
              </w:tc>
              <w:tc>
                <w:tcPr>
                  <w:tcW w:w="1222"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废物名称</w:t>
                  </w:r>
                </w:p>
              </w:tc>
              <w:tc>
                <w:tcPr>
                  <w:tcW w:w="97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产生量（t/a）</w:t>
                  </w:r>
                </w:p>
              </w:tc>
              <w:tc>
                <w:tcPr>
                  <w:tcW w:w="1440"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代码及特性</w:t>
                  </w:r>
                </w:p>
              </w:tc>
              <w:tc>
                <w:tcPr>
                  <w:tcW w:w="1064"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危险特性</w:t>
                  </w:r>
                </w:p>
              </w:tc>
              <w:tc>
                <w:tcPr>
                  <w:tcW w:w="800"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物理形状</w:t>
                  </w:r>
                </w:p>
              </w:tc>
              <w:tc>
                <w:tcPr>
                  <w:tcW w:w="862"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产生环节</w:t>
                  </w:r>
                </w:p>
              </w:tc>
              <w:tc>
                <w:tcPr>
                  <w:tcW w:w="195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52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1222"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实验室废料</w:t>
                  </w:r>
                </w:p>
              </w:tc>
              <w:tc>
                <w:tcPr>
                  <w:tcW w:w="97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298.5</w:t>
                  </w:r>
                </w:p>
              </w:tc>
              <w:tc>
                <w:tcPr>
                  <w:tcW w:w="1440"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900-099-S59</w:t>
                  </w:r>
                </w:p>
              </w:tc>
              <w:tc>
                <w:tcPr>
                  <w:tcW w:w="1064"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800"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固态</w:t>
                  </w:r>
                </w:p>
              </w:tc>
              <w:tc>
                <w:tcPr>
                  <w:tcW w:w="862"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实验</w:t>
                  </w:r>
                </w:p>
              </w:tc>
              <w:tc>
                <w:tcPr>
                  <w:tcW w:w="195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收集后外</w:t>
                  </w:r>
                </w:p>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售用于修筑道路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52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1222"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布袋收集器收集粉尘</w:t>
                  </w:r>
                </w:p>
              </w:tc>
              <w:tc>
                <w:tcPr>
                  <w:tcW w:w="97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5.9</w:t>
                  </w:r>
                </w:p>
              </w:tc>
              <w:tc>
                <w:tcPr>
                  <w:tcW w:w="1440"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900-099-S17</w:t>
                  </w:r>
                </w:p>
              </w:tc>
              <w:tc>
                <w:tcPr>
                  <w:tcW w:w="1064"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800"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固态</w:t>
                  </w:r>
                </w:p>
              </w:tc>
              <w:tc>
                <w:tcPr>
                  <w:tcW w:w="862"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布袋</w:t>
                  </w:r>
                </w:p>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除尘器</w:t>
                  </w:r>
                </w:p>
              </w:tc>
              <w:tc>
                <w:tcPr>
                  <w:tcW w:w="195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52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1222"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沉淀池沉渣</w:t>
                  </w:r>
                </w:p>
              </w:tc>
              <w:tc>
                <w:tcPr>
                  <w:tcW w:w="97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1440"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900-009-S59</w:t>
                  </w:r>
                </w:p>
              </w:tc>
              <w:tc>
                <w:tcPr>
                  <w:tcW w:w="1064"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00"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固态</w:t>
                  </w:r>
                </w:p>
              </w:tc>
              <w:tc>
                <w:tcPr>
                  <w:tcW w:w="862"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沉淀池</w:t>
                  </w:r>
                </w:p>
              </w:tc>
              <w:tc>
                <w:tcPr>
                  <w:tcW w:w="195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52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w:t>
                  </w:r>
                </w:p>
              </w:tc>
              <w:tc>
                <w:tcPr>
                  <w:tcW w:w="1222"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废布袋</w:t>
                  </w:r>
                </w:p>
              </w:tc>
              <w:tc>
                <w:tcPr>
                  <w:tcW w:w="97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1</w:t>
                  </w:r>
                </w:p>
              </w:tc>
              <w:tc>
                <w:tcPr>
                  <w:tcW w:w="1440"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900-009-S59</w:t>
                  </w:r>
                </w:p>
              </w:tc>
              <w:tc>
                <w:tcPr>
                  <w:tcW w:w="1064"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800"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固态</w:t>
                  </w:r>
                </w:p>
              </w:tc>
              <w:tc>
                <w:tcPr>
                  <w:tcW w:w="862"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布袋</w:t>
                  </w:r>
                </w:p>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除尘器</w:t>
                  </w:r>
                </w:p>
              </w:tc>
              <w:tc>
                <w:tcPr>
                  <w:tcW w:w="195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52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p>
              </w:tc>
              <w:tc>
                <w:tcPr>
                  <w:tcW w:w="1222"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生活垃圾</w:t>
                  </w:r>
                </w:p>
              </w:tc>
              <w:tc>
                <w:tcPr>
                  <w:tcW w:w="97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4</w:t>
                  </w:r>
                </w:p>
              </w:tc>
              <w:tc>
                <w:tcPr>
                  <w:tcW w:w="1440"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900-099-S64</w:t>
                  </w:r>
                </w:p>
              </w:tc>
              <w:tc>
                <w:tcPr>
                  <w:tcW w:w="1064"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800"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862"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员工生活</w:t>
                  </w:r>
                </w:p>
              </w:tc>
              <w:tc>
                <w:tcPr>
                  <w:tcW w:w="1953" w:type="dxa"/>
                  <w:tcBorders>
                    <w:tl2br w:val="nil"/>
                    <w:tr2bl w:val="nil"/>
                  </w:tcBorders>
                  <w:noWrap w:val="0"/>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u w:val="none" w:color="auto"/>
                      <w:lang w:eastAsia="zh-CN"/>
                    </w:rPr>
                    <w:t>由环卫部门定期清运</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color w:val="auto"/>
                <w:sz w:val="24"/>
                <w:szCs w:val="24"/>
                <w:highlight w:val="none"/>
              </w:rPr>
              <w:t>综上所述</w:t>
            </w:r>
            <w:r>
              <w:rPr>
                <w:rFonts w:hint="default" w:ascii="Times New Roman" w:hAnsi="Times New Roman" w:eastAsia="宋体" w:cs="Times New Roman"/>
                <w:color w:val="auto"/>
                <w:spacing w:val="-29"/>
                <w:sz w:val="24"/>
                <w:szCs w:val="24"/>
                <w:highlight w:val="none"/>
              </w:rPr>
              <w:t>，</w:t>
            </w:r>
            <w:r>
              <w:rPr>
                <w:rFonts w:hint="default" w:ascii="Times New Roman" w:hAnsi="Times New Roman" w:eastAsia="宋体" w:cs="Times New Roman"/>
                <w:color w:val="auto"/>
                <w:sz w:val="24"/>
                <w:szCs w:val="24"/>
                <w:highlight w:val="none"/>
              </w:rPr>
              <w:t>只要在营运后做好固废的分类收集</w:t>
            </w:r>
            <w:r>
              <w:rPr>
                <w:rFonts w:hint="default" w:ascii="Times New Roman" w:hAnsi="Times New Roman" w:eastAsia="宋体" w:cs="Times New Roman"/>
                <w:color w:val="auto"/>
                <w:spacing w:val="-29"/>
                <w:sz w:val="24"/>
                <w:szCs w:val="24"/>
                <w:highlight w:val="none"/>
              </w:rPr>
              <w:t>、</w:t>
            </w:r>
            <w:r>
              <w:rPr>
                <w:rFonts w:hint="default" w:ascii="Times New Roman" w:hAnsi="Times New Roman" w:eastAsia="宋体" w:cs="Times New Roman"/>
                <w:color w:val="auto"/>
                <w:sz w:val="24"/>
                <w:szCs w:val="24"/>
                <w:highlight w:val="none"/>
              </w:rPr>
              <w:t>管理及处置工作</w:t>
            </w:r>
            <w:r>
              <w:rPr>
                <w:rFonts w:hint="default" w:ascii="Times New Roman" w:hAnsi="Times New Roman" w:eastAsia="宋体" w:cs="Times New Roman"/>
                <w:color w:val="auto"/>
                <w:spacing w:val="-29"/>
                <w:sz w:val="24"/>
                <w:szCs w:val="24"/>
                <w:highlight w:val="none"/>
              </w:rPr>
              <w:t>，</w:t>
            </w:r>
            <w:r>
              <w:rPr>
                <w:rFonts w:hint="default" w:ascii="Times New Roman" w:hAnsi="Times New Roman" w:eastAsia="宋体" w:cs="Times New Roman"/>
                <w:color w:val="auto"/>
                <w:sz w:val="24"/>
                <w:szCs w:val="24"/>
                <w:highlight w:val="none"/>
              </w:rPr>
              <w:t>并加强对委托代处理单位的有效监督</w:t>
            </w:r>
            <w:r>
              <w:rPr>
                <w:rFonts w:hint="default" w:ascii="Times New Roman" w:hAnsi="Times New Roman" w:eastAsia="宋体" w:cs="Times New Roman"/>
                <w:color w:val="auto"/>
                <w:spacing w:val="-44"/>
                <w:sz w:val="24"/>
                <w:szCs w:val="24"/>
                <w:highlight w:val="none"/>
              </w:rPr>
              <w:t>，</w:t>
            </w:r>
            <w:r>
              <w:rPr>
                <w:rFonts w:hint="default" w:ascii="Times New Roman" w:hAnsi="Times New Roman" w:eastAsia="宋体" w:cs="Times New Roman"/>
                <w:color w:val="auto"/>
                <w:sz w:val="24"/>
                <w:szCs w:val="24"/>
                <w:highlight w:val="none"/>
              </w:rPr>
              <w:t>该项目产生的固废不会造成二次污染</w:t>
            </w:r>
            <w:r>
              <w:rPr>
                <w:rFonts w:hint="default" w:ascii="Times New Roman" w:hAnsi="Times New Roman" w:eastAsia="宋体" w:cs="Times New Roman"/>
                <w:color w:val="auto"/>
                <w:spacing w:val="-44"/>
                <w:sz w:val="24"/>
                <w:szCs w:val="24"/>
                <w:highlight w:val="none"/>
              </w:rPr>
              <w:t>。</w:t>
            </w:r>
            <w:r>
              <w:rPr>
                <w:rFonts w:hint="default" w:ascii="Times New Roman" w:hAnsi="Times New Roman" w:eastAsia="宋体" w:cs="Times New Roman"/>
                <w:color w:val="auto"/>
                <w:sz w:val="24"/>
                <w:szCs w:val="24"/>
                <w:highlight w:val="none"/>
              </w:rPr>
              <w:t>本项目营运期固废均能得到妥善处理处置，对环境影响很小。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固废储存场所管理要求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（1）一般工业固体废物</w:t>
            </w:r>
            <w:r>
              <w:rPr>
                <w:rFonts w:hint="default" w:ascii="Times New Roman" w:hAnsi="Times New Roman" w:eastAsia="宋体" w:cs="Times New Roman"/>
                <w:b w:val="0"/>
                <w:bCs w:val="0"/>
                <w:color w:val="auto"/>
                <w:sz w:val="24"/>
                <w:szCs w:val="24"/>
                <w:highlight w:val="none"/>
                <w:lang w:eastAsia="zh-CN"/>
              </w:rPr>
              <w:t>储存场所管理要求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采用库房、包装工具（罐、桶、包装袋等）贮存一般工业固体废物的，贮存过程应满足相应防渗漏、 防雨淋、防扬尘等环境保护要求；生活垃圾不得进入一般工业固体废物贮存场；不相容的一般工业固体废物应设置不同的分区进行贮存作业；贮存场应设置清晰、完整的一般工业固体废物标志牌等。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工业固体废物管理要求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①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②禁止向生活垃圾收集设施中投放工业固体废物。③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w:t>
            </w:r>
            <w:r>
              <w:rPr>
                <w:rFonts w:hint="default" w:ascii="Times New Roman" w:hAnsi="Times New Roman" w:eastAsia="宋体" w:cs="Times New Roman"/>
                <w:color w:val="auto"/>
                <w:sz w:val="24"/>
                <w:szCs w:val="24"/>
                <w:highlight w:val="none"/>
                <w:lang w:eastAsia="zh-CN"/>
              </w:rPr>
              <w:t>。</w:t>
            </w:r>
          </w:p>
          <w:p>
            <w:pPr>
              <w:pStyle w:val="145"/>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auto"/>
                <w:highlight w:val="none"/>
              </w:rPr>
            </w:pPr>
            <w:r>
              <w:rPr>
                <w:rFonts w:hint="eastAsia"/>
                <w:b/>
                <w:bCs/>
                <w:color w:val="auto"/>
                <w:highlight w:val="none"/>
                <w:lang w:val="en-US" w:eastAsia="zh-CN"/>
              </w:rPr>
              <w:t>五</w:t>
            </w:r>
            <w:r>
              <w:rPr>
                <w:rFonts w:hint="eastAsia"/>
                <w:b/>
                <w:bCs/>
                <w:color w:val="auto"/>
                <w:highlight w:val="none"/>
              </w:rPr>
              <w:t>、地下水及土壤</w:t>
            </w:r>
          </w:p>
          <w:p>
            <w:pPr>
              <w:spacing w:line="360" w:lineRule="auto"/>
              <w:ind w:firstLine="460" w:firstLineChars="192"/>
              <w:rPr>
                <w:rFonts w:hint="eastAsia"/>
                <w:color w:val="auto"/>
                <w:highlight w:val="none"/>
                <w:lang w:val="en-US" w:eastAsia="zh-CN"/>
              </w:rPr>
            </w:pPr>
            <w:r>
              <w:rPr>
                <w:rFonts w:hint="eastAsia"/>
                <w:color w:val="auto"/>
                <w:sz w:val="24"/>
                <w:highlight w:val="none"/>
              </w:rPr>
              <w:t>项目营运过程中，</w:t>
            </w:r>
            <w:r>
              <w:rPr>
                <w:color w:val="auto"/>
                <w:sz w:val="24"/>
                <w:highlight w:val="none"/>
              </w:rPr>
              <w:t>生产过程中搅拌机冲洗废水</w:t>
            </w:r>
            <w:r>
              <w:rPr>
                <w:rFonts w:hint="eastAsia"/>
                <w:color w:val="auto"/>
                <w:sz w:val="24"/>
                <w:highlight w:val="none"/>
              </w:rPr>
              <w:t>、</w:t>
            </w:r>
            <w:r>
              <w:rPr>
                <w:color w:val="auto"/>
                <w:sz w:val="24"/>
                <w:highlight w:val="none"/>
              </w:rPr>
              <w:t>运输车辆冲洗废水</w:t>
            </w:r>
            <w:r>
              <w:rPr>
                <w:rFonts w:hint="eastAsia"/>
                <w:color w:val="auto"/>
                <w:sz w:val="24"/>
                <w:highlight w:val="none"/>
              </w:rPr>
              <w:t>和厂区地面冲洗废水</w:t>
            </w:r>
            <w:r>
              <w:rPr>
                <w:color w:val="auto"/>
                <w:sz w:val="24"/>
                <w:highlight w:val="none"/>
              </w:rPr>
              <w:t>经</w:t>
            </w:r>
            <w:r>
              <w:rPr>
                <w:rFonts w:hint="eastAsia"/>
                <w:color w:val="auto"/>
                <w:sz w:val="24"/>
                <w:highlight w:val="none"/>
              </w:rPr>
              <w:t>沉淀池</w:t>
            </w:r>
            <w:r>
              <w:rPr>
                <w:color w:val="auto"/>
                <w:sz w:val="24"/>
                <w:highlight w:val="none"/>
              </w:rPr>
              <w:t>沉淀后回用于生产</w:t>
            </w:r>
            <w:r>
              <w:rPr>
                <w:rFonts w:hint="eastAsia"/>
                <w:color w:val="auto"/>
                <w:sz w:val="24"/>
                <w:highlight w:val="none"/>
              </w:rPr>
              <w:t>，</w:t>
            </w:r>
            <w:r>
              <w:rPr>
                <w:rFonts w:ascii="Times New Roman" w:hAnsi="Times New Roman" w:cs="Times New Roman"/>
                <w:color w:val="auto"/>
                <w:sz w:val="24"/>
                <w:highlight w:val="none"/>
              </w:rPr>
              <w:t>沉淀池采取防渗措施，为一般防渗，满足等效黏土防渗层</w:t>
            </w:r>
            <w:r>
              <w:rPr>
                <w:rFonts w:hint="default" w:ascii="Times New Roman" w:hAnsi="Times New Roman" w:cs="Times New Roman"/>
                <w:color w:val="auto"/>
                <w:sz w:val="24"/>
                <w:highlight w:val="none"/>
              </w:rPr>
              <w:t>Mb</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5m</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K</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10</w:t>
            </w:r>
            <w:r>
              <w:rPr>
                <w:rFonts w:ascii="Times New Roman" w:hAnsi="Times New Roman" w:cs="Times New Roman"/>
                <w:color w:val="auto"/>
                <w:sz w:val="24"/>
                <w:highlight w:val="none"/>
                <w:vertAlign w:val="superscript"/>
              </w:rPr>
              <w:t>-</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cm</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s</w:t>
            </w:r>
            <w:r>
              <w:rPr>
                <w:rFonts w:ascii="Times New Roman" w:hAnsi="Times New Roman" w:cs="Times New Roman"/>
                <w:color w:val="auto"/>
                <w:sz w:val="24"/>
                <w:highlight w:val="none"/>
              </w:rPr>
              <w:t>的要求。</w:t>
            </w:r>
            <w:r>
              <w:rPr>
                <w:color w:val="auto"/>
                <w:sz w:val="24"/>
                <w:highlight w:val="none"/>
              </w:rPr>
              <w:t>生活污水排入</w:t>
            </w:r>
            <w:r>
              <w:rPr>
                <w:rFonts w:hint="eastAsia"/>
                <w:color w:val="auto"/>
                <w:sz w:val="24"/>
                <w:highlight w:val="none"/>
              </w:rPr>
              <w:t>防渗旱厕，定期清掏。</w:t>
            </w:r>
            <w:r>
              <w:rPr>
                <w:color w:val="auto"/>
                <w:sz w:val="24"/>
                <w:highlight w:val="none"/>
              </w:rPr>
              <w:t>本项目无污染土壤和地下水相关途径。</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六</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环境风险</w:t>
            </w:r>
          </w:p>
          <w:p>
            <w:pPr>
              <w:spacing w:line="360" w:lineRule="auto"/>
              <w:ind w:firstLine="460" w:firstLineChars="192"/>
              <w:rPr>
                <w:rFonts w:hint="eastAsia" w:cs="Times New Roman"/>
                <w:color w:val="auto"/>
                <w:sz w:val="24"/>
                <w:highlight w:val="none"/>
                <w:lang w:eastAsia="zh-CN"/>
              </w:rPr>
            </w:pPr>
            <w:r>
              <w:rPr>
                <w:rFonts w:hint="eastAsia" w:cs="Times New Roman"/>
                <w:color w:val="auto"/>
                <w:sz w:val="24"/>
                <w:highlight w:val="none"/>
                <w:lang w:eastAsia="zh-CN"/>
              </w:rPr>
              <w:t>（一）、风险分析</w:t>
            </w:r>
          </w:p>
          <w:p>
            <w:pPr>
              <w:spacing w:line="360" w:lineRule="auto"/>
              <w:ind w:firstLine="460" w:firstLineChars="192"/>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本项目为混凝土</w:t>
            </w:r>
            <w:r>
              <w:rPr>
                <w:rFonts w:hint="eastAsia" w:ascii="Times New Roman" w:hAnsi="Times New Roman" w:eastAsia="宋体" w:cs="Times New Roman"/>
                <w:color w:val="auto"/>
                <w:sz w:val="24"/>
                <w:highlight w:val="none"/>
                <w:lang w:val="en-US" w:eastAsia="zh-CN"/>
              </w:rPr>
              <w:t>生产</w:t>
            </w:r>
            <w:r>
              <w:rPr>
                <w:rFonts w:ascii="Times New Roman" w:hAnsi="Times New Roman" w:eastAsia="宋体" w:cs="Times New Roman"/>
                <w:color w:val="auto"/>
                <w:sz w:val="24"/>
                <w:highlight w:val="none"/>
              </w:rPr>
              <w:t>，根据《建设项目环境风险评价技术导则》（</w:t>
            </w:r>
            <w:r>
              <w:rPr>
                <w:rFonts w:hint="default" w:ascii="Times New Roman" w:hAnsi="Times New Roman" w:eastAsia="宋体" w:cs="Times New Roman"/>
                <w:color w:val="auto"/>
                <w:sz w:val="24"/>
                <w:highlight w:val="none"/>
              </w:rPr>
              <w:t>HJ169</w:t>
            </w:r>
            <w:r>
              <w:rPr>
                <w:rFonts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2018</w:t>
            </w:r>
            <w:r>
              <w:rPr>
                <w:rFonts w:ascii="Times New Roman" w:hAnsi="Times New Roman" w:eastAsia="宋体" w:cs="Times New Roman"/>
                <w:color w:val="auto"/>
                <w:sz w:val="24"/>
                <w:highlight w:val="none"/>
              </w:rPr>
              <w:t xml:space="preserve">）附录 </w:t>
            </w:r>
            <w:r>
              <w:rPr>
                <w:rFonts w:hint="default" w:ascii="Times New Roman" w:hAnsi="Times New Roman" w:eastAsia="宋体" w:cs="Times New Roman"/>
                <w:color w:val="auto"/>
                <w:sz w:val="24"/>
                <w:highlight w:val="none"/>
              </w:rPr>
              <w:t>B</w:t>
            </w:r>
            <w:r>
              <w:rPr>
                <w:rFonts w:ascii="Times New Roman" w:hAnsi="Times New Roman" w:eastAsia="宋体" w:cs="Times New Roman"/>
                <w:color w:val="auto"/>
                <w:sz w:val="24"/>
                <w:highlight w:val="none"/>
              </w:rPr>
              <w:t>，外加剂不属于环境风险物质，</w:t>
            </w:r>
            <w:r>
              <w:rPr>
                <w:rFonts w:hint="default" w:ascii="Times New Roman" w:hAnsi="Times New Roman" w:eastAsia="宋体" w:cs="Times New Roman"/>
                <w:color w:val="auto"/>
                <w:sz w:val="24"/>
                <w:highlight w:val="none"/>
              </w:rPr>
              <w:t>Q</w:t>
            </w:r>
            <w:r>
              <w:rPr>
                <w:rFonts w:ascii="Times New Roman" w:hAnsi="Times New Roman" w:eastAsia="宋体" w:cs="Times New Roman"/>
                <w:color w:val="auto"/>
                <w:sz w:val="24"/>
                <w:highlight w:val="none"/>
              </w:rPr>
              <w:t xml:space="preserve"> 值为</w:t>
            </w:r>
            <w:r>
              <w:rPr>
                <w:rFonts w:hint="default" w:ascii="Times New Roman" w:hAnsi="Times New Roman" w:eastAsia="宋体" w:cs="Times New Roman"/>
                <w:color w:val="auto"/>
                <w:sz w:val="24"/>
                <w:highlight w:val="none"/>
              </w:rPr>
              <w:t>0</w:t>
            </w:r>
            <w:r>
              <w:rPr>
                <w:rFonts w:ascii="Times New Roman" w:hAnsi="Times New Roman" w:eastAsia="宋体" w:cs="Times New Roman"/>
                <w:color w:val="auto"/>
                <w:sz w:val="24"/>
                <w:highlight w:val="none"/>
              </w:rPr>
              <w:t>。本项目对环境风险评价工作不做分析。</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40" w:firstLineChars="200"/>
              <w:textAlignment w:val="auto"/>
              <w:rPr>
                <w:rFonts w:hint="eastAsia"/>
                <w:color w:val="auto"/>
                <w:spacing w:val="-10"/>
                <w:szCs w:val="21"/>
                <w:highlight w:val="none"/>
                <w:lang w:val="en-US" w:eastAsia="zh-CN"/>
              </w:rPr>
            </w:pPr>
            <w:r>
              <w:rPr>
                <w:rFonts w:hint="eastAsia"/>
                <w:color w:val="auto"/>
                <w:spacing w:val="-10"/>
                <w:sz w:val="24"/>
                <w:szCs w:val="24"/>
                <w:highlight w:val="none"/>
                <w:lang w:eastAsia="zh-CN"/>
              </w:rPr>
              <w:t>、</w:t>
            </w:r>
            <w:r>
              <w:rPr>
                <w:rFonts w:hint="eastAsia"/>
                <w:color w:val="auto"/>
                <w:spacing w:val="-10"/>
                <w:sz w:val="24"/>
                <w:szCs w:val="24"/>
                <w:highlight w:val="none"/>
                <w:lang w:val="en-US" w:eastAsia="zh-CN"/>
              </w:rPr>
              <w:t>风险防范措施要求</w:t>
            </w:r>
            <w:r>
              <w:rPr>
                <w:rFonts w:hint="eastAsia"/>
                <w:color w:val="auto"/>
                <w:spacing w:val="-10"/>
                <w:szCs w:val="21"/>
                <w:highlight w:val="none"/>
                <w:lang w:val="en-US" w:eastAsia="zh-CN"/>
              </w:rPr>
              <w:t xml:space="preserve"> </w:t>
            </w:r>
          </w:p>
          <w:p>
            <w:pPr>
              <w:pStyle w:val="26"/>
              <w:numPr>
                <w:ilvl w:val="0"/>
                <w:numId w:val="0"/>
              </w:numPr>
              <w:ind w:leftChars="0"/>
              <w:rPr>
                <w:rFonts w:hint="eastAsia" w:eastAsia="仿宋_GB2312"/>
                <w:lang w:val="en-US" w:eastAsia="zh-CN"/>
              </w:rPr>
            </w:pPr>
            <w:r>
              <w:rPr>
                <w:rFonts w:hint="eastAsia"/>
                <w:color w:val="auto"/>
                <w:lang w:val="en-US" w:eastAsia="zh-CN"/>
              </w:rPr>
              <w:t xml:space="preserve">   </w:t>
            </w:r>
            <w:r>
              <w:rPr>
                <w:rFonts w:hint="eastAsia" w:ascii="Times New Roman" w:hAnsi="Times New Roman" w:eastAsia="宋体" w:cs="Times New Roman"/>
                <w:color w:val="auto"/>
                <w:kern w:val="2"/>
                <w:sz w:val="24"/>
                <w:szCs w:val="24"/>
                <w:highlight w:val="none"/>
                <w:lang w:val="en-US" w:eastAsia="zh-CN" w:bidi="ar-SA"/>
              </w:rPr>
              <w:t>为防止外加剂泄漏发生事故，设防渗漏、防腐蚀、防淋溶、防流失措施，设防初期雨水、泄漏物、受污染的消防水（溢）流入雨水和清净下水系统的导流围挡收集措施（如防火堤、围堰等），且相关措施符合设计规范；日常管理及维护良好，有专人负责阀门切换，保证初期雨水、泄漏物和受污染的消防水排入污水系统。</w:t>
            </w:r>
          </w:p>
        </w:tc>
      </w:tr>
    </w:tbl>
    <w:p>
      <w:pPr>
        <w:adjustRightInd w:val="0"/>
        <w:snapToGrid w:val="0"/>
        <w:spacing w:line="360" w:lineRule="auto"/>
        <w:rPr>
          <w:b/>
          <w:color w:val="auto"/>
          <w:kern w:val="0"/>
          <w:sz w:val="28"/>
          <w:szCs w:val="28"/>
          <w:highlight w:val="none"/>
        </w:rPr>
        <w:sectPr>
          <w:footerReference r:id="rId8" w:type="default"/>
          <w:pgSz w:w="11907" w:h="16840"/>
          <w:pgMar w:top="1247" w:right="1531" w:bottom="1361" w:left="1531" w:header="851" w:footer="851" w:gutter="0"/>
          <w:pgBorders>
            <w:top w:val="none" w:sz="0" w:space="0"/>
            <w:left w:val="none" w:sz="0" w:space="0"/>
            <w:bottom w:val="none" w:sz="0" w:space="0"/>
            <w:right w:val="none" w:sz="0" w:space="0"/>
          </w:pgBorders>
          <w:cols w:space="720" w:num="1"/>
          <w:docGrid w:linePitch="312" w:charSpace="0"/>
        </w:sectPr>
      </w:pPr>
    </w:p>
    <w:p>
      <w:pPr>
        <w:pStyle w:val="28"/>
        <w:jc w:val="center"/>
        <w:outlineLvl w:val="0"/>
        <w:rPr>
          <w:rFonts w:ascii="Times New Roman" w:hAnsi="Times New Roman"/>
          <w:b/>
          <w:bCs/>
          <w:snapToGrid w:val="0"/>
          <w:color w:val="auto"/>
          <w:sz w:val="30"/>
          <w:szCs w:val="30"/>
          <w:highlight w:val="none"/>
        </w:rPr>
      </w:pPr>
      <w:bookmarkStart w:id="25" w:name="_Toc9007"/>
      <w:r>
        <w:rPr>
          <w:rFonts w:ascii="Times New Roman" w:hAnsi="Times New Roman"/>
          <w:b/>
          <w:bCs/>
          <w:snapToGrid w:val="0"/>
          <w:color w:val="auto"/>
          <w:sz w:val="30"/>
          <w:szCs w:val="30"/>
          <w:highlight w:val="none"/>
        </w:rPr>
        <w:t>五、</w:t>
      </w:r>
      <w:bookmarkStart w:id="26" w:name="_Hlk54167917"/>
      <w:r>
        <w:rPr>
          <w:rFonts w:ascii="Times New Roman" w:hAnsi="Times New Roman"/>
          <w:b/>
          <w:bCs/>
          <w:snapToGrid w:val="0"/>
          <w:color w:val="auto"/>
          <w:sz w:val="30"/>
          <w:szCs w:val="30"/>
          <w:highlight w:val="none"/>
        </w:rPr>
        <w:t>环境保护措施监督检查清单</w:t>
      </w:r>
      <w:bookmarkEnd w:id="25"/>
      <w:bookmarkEnd w:id="26"/>
    </w:p>
    <w:tbl>
      <w:tblPr>
        <w:tblStyle w:val="32"/>
        <w:tblW w:w="952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1687"/>
        <w:gridCol w:w="1172"/>
        <w:gridCol w:w="2963"/>
        <w:gridCol w:w="20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1678" w:type="dxa"/>
            <w:tcBorders>
              <w:tl2br w:val="single" w:color="auto" w:sz="4" w:space="0"/>
            </w:tcBorders>
          </w:tcPr>
          <w:p>
            <w:pPr>
              <w:adjustRightInd w:val="0"/>
              <w:snapToGrid w:val="0"/>
              <w:ind w:firstLine="840"/>
              <w:rPr>
                <w:color w:val="auto"/>
                <w:sz w:val="24"/>
                <w:highlight w:val="none"/>
              </w:rPr>
            </w:pPr>
            <w:r>
              <w:rPr>
                <w:color w:val="auto"/>
                <w:sz w:val="24"/>
                <w:highlight w:val="none"/>
              </w:rPr>
              <w:t>内容</w:t>
            </w:r>
          </w:p>
          <w:p>
            <w:pPr>
              <w:adjustRightInd w:val="0"/>
              <w:snapToGrid w:val="0"/>
              <w:rPr>
                <w:color w:val="auto"/>
                <w:sz w:val="24"/>
                <w:highlight w:val="none"/>
              </w:rPr>
            </w:pPr>
            <w:r>
              <w:rPr>
                <w:color w:val="auto"/>
                <w:sz w:val="24"/>
                <w:highlight w:val="none"/>
              </w:rPr>
              <w:t>要素</w:t>
            </w:r>
          </w:p>
        </w:tc>
        <w:tc>
          <w:tcPr>
            <w:tcW w:w="1687" w:type="dxa"/>
            <w:vAlign w:val="center"/>
          </w:tcPr>
          <w:p>
            <w:pPr>
              <w:adjustRightInd w:val="0"/>
              <w:snapToGrid w:val="0"/>
              <w:jc w:val="center"/>
              <w:rPr>
                <w:color w:val="auto"/>
                <w:sz w:val="24"/>
                <w:highlight w:val="none"/>
              </w:rPr>
            </w:pPr>
            <w:r>
              <w:rPr>
                <w:color w:val="auto"/>
                <w:sz w:val="24"/>
                <w:highlight w:val="none"/>
              </w:rPr>
              <w:t>排放口（编号、名称）/污染源</w:t>
            </w:r>
          </w:p>
        </w:tc>
        <w:tc>
          <w:tcPr>
            <w:tcW w:w="1172" w:type="dxa"/>
            <w:vAlign w:val="center"/>
          </w:tcPr>
          <w:p>
            <w:pPr>
              <w:adjustRightInd w:val="0"/>
              <w:snapToGrid w:val="0"/>
              <w:jc w:val="center"/>
              <w:rPr>
                <w:color w:val="auto"/>
                <w:sz w:val="24"/>
                <w:highlight w:val="none"/>
              </w:rPr>
            </w:pPr>
            <w:r>
              <w:rPr>
                <w:color w:val="auto"/>
                <w:sz w:val="24"/>
                <w:highlight w:val="none"/>
              </w:rPr>
              <w:t>污染物项目</w:t>
            </w:r>
          </w:p>
        </w:tc>
        <w:tc>
          <w:tcPr>
            <w:tcW w:w="2963" w:type="dxa"/>
            <w:vAlign w:val="center"/>
          </w:tcPr>
          <w:p>
            <w:pPr>
              <w:adjustRightInd w:val="0"/>
              <w:snapToGrid w:val="0"/>
              <w:jc w:val="center"/>
              <w:rPr>
                <w:color w:val="auto"/>
                <w:sz w:val="24"/>
                <w:highlight w:val="none"/>
              </w:rPr>
            </w:pPr>
            <w:r>
              <w:rPr>
                <w:color w:val="auto"/>
                <w:sz w:val="24"/>
                <w:highlight w:val="none"/>
              </w:rPr>
              <w:t>环境保护措施</w:t>
            </w:r>
          </w:p>
        </w:tc>
        <w:tc>
          <w:tcPr>
            <w:tcW w:w="2024" w:type="dxa"/>
            <w:vAlign w:val="center"/>
          </w:tcPr>
          <w:p>
            <w:pPr>
              <w:adjustRightInd w:val="0"/>
              <w:snapToGrid w:val="0"/>
              <w:jc w:val="center"/>
              <w:rPr>
                <w:color w:val="auto"/>
                <w:sz w:val="24"/>
                <w:highlight w:val="none"/>
              </w:rPr>
            </w:pPr>
            <w:r>
              <w:rPr>
                <w:color w:val="auto"/>
                <w:sz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42" w:hRule="atLeast"/>
          <w:jc w:val="center"/>
        </w:trPr>
        <w:tc>
          <w:tcPr>
            <w:tcW w:w="1678"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大气环境</w:t>
            </w:r>
          </w:p>
        </w:tc>
        <w:tc>
          <w:tcPr>
            <w:tcW w:w="1687"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无组织</w:t>
            </w:r>
          </w:p>
        </w:tc>
        <w:tc>
          <w:tcPr>
            <w:tcW w:w="1172" w:type="dxa"/>
            <w:vAlign w:val="center"/>
          </w:tcPr>
          <w:p>
            <w:pPr>
              <w:pStyle w:val="138"/>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颗粒物</w:t>
            </w:r>
          </w:p>
        </w:tc>
        <w:tc>
          <w:tcPr>
            <w:tcW w:w="2963" w:type="dxa"/>
            <w:vAlign w:val="center"/>
          </w:tcPr>
          <w:p>
            <w:pPr>
              <w:pStyle w:val="138"/>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val="0"/>
                <w:bCs/>
                <w:color w:val="auto"/>
                <w:spacing w:val="0"/>
                <w:sz w:val="24"/>
                <w:szCs w:val="24"/>
                <w:highlight w:val="none"/>
              </w:rPr>
              <w:t>原料</w:t>
            </w:r>
            <w:r>
              <w:rPr>
                <w:rFonts w:hint="default" w:ascii="Times New Roman" w:hAnsi="Times New Roman" w:eastAsia="宋体" w:cs="Times New Roman"/>
                <w:b w:val="0"/>
                <w:bCs/>
                <w:color w:val="auto"/>
                <w:spacing w:val="0"/>
                <w:sz w:val="24"/>
                <w:szCs w:val="24"/>
                <w:highlight w:val="none"/>
              </w:rPr>
              <w:t>采用卡车运输，卡车用苫布苫盖</w:t>
            </w:r>
            <w:r>
              <w:rPr>
                <w:rFonts w:hint="eastAsia" w:ascii="Times New Roman" w:hAnsi="Times New Roman" w:eastAsia="宋体" w:cs="Times New Roman"/>
                <w:b w:val="0"/>
                <w:bCs/>
                <w:color w:val="auto"/>
                <w:spacing w:val="0"/>
                <w:sz w:val="24"/>
                <w:szCs w:val="24"/>
                <w:highlight w:val="none"/>
              </w:rPr>
              <w:t>，水泥采用</w:t>
            </w:r>
            <w:r>
              <w:rPr>
                <w:rFonts w:hint="eastAsia" w:cs="Times New Roman"/>
                <w:b w:val="0"/>
                <w:bCs/>
                <w:color w:val="auto"/>
                <w:spacing w:val="0"/>
                <w:sz w:val="24"/>
                <w:szCs w:val="24"/>
                <w:highlight w:val="none"/>
                <w:lang w:eastAsia="zh-CN"/>
              </w:rPr>
              <w:t>专用水泥运输罐车</w:t>
            </w:r>
            <w:r>
              <w:rPr>
                <w:rFonts w:hint="eastAsia" w:ascii="Times New Roman" w:hAnsi="Times New Roman" w:eastAsia="宋体" w:cs="Times New Roman"/>
                <w:b w:val="0"/>
                <w:bCs/>
                <w:color w:val="auto"/>
                <w:spacing w:val="0"/>
                <w:sz w:val="24"/>
                <w:szCs w:val="24"/>
                <w:highlight w:val="none"/>
                <w:lang w:val="en-US" w:eastAsia="zh-CN"/>
              </w:rPr>
              <w:t>运输，且对厂区进行洒水抑尘</w:t>
            </w:r>
            <w:r>
              <w:rPr>
                <w:rFonts w:hint="eastAsia" w:ascii="Times New Roman" w:hAnsi="Times New Roman" w:eastAsia="宋体" w:cs="Times New Roman"/>
                <w:b w:val="0"/>
                <w:bCs/>
                <w:color w:val="auto"/>
                <w:spacing w:val="0"/>
                <w:sz w:val="24"/>
                <w:szCs w:val="24"/>
                <w:highlight w:val="none"/>
              </w:rPr>
              <w:t>；本项目</w:t>
            </w:r>
            <w:r>
              <w:rPr>
                <w:rFonts w:hint="eastAsia" w:ascii="Times New Roman" w:hAnsi="Times New Roman" w:eastAsia="宋体" w:cs="Times New Roman"/>
                <w:b w:val="0"/>
                <w:bCs/>
                <w:color w:val="auto"/>
                <w:spacing w:val="0"/>
                <w:sz w:val="24"/>
                <w:szCs w:val="24"/>
                <w:highlight w:val="none"/>
                <w:lang w:val="en-US" w:eastAsia="zh-CN"/>
              </w:rPr>
              <w:t>砂石料</w:t>
            </w:r>
            <w:r>
              <w:rPr>
                <w:rFonts w:hint="default" w:ascii="Times New Roman" w:hAnsi="Times New Roman" w:eastAsia="宋体" w:cs="Times New Roman"/>
                <w:b w:val="0"/>
                <w:bCs/>
                <w:color w:val="auto"/>
                <w:spacing w:val="0"/>
                <w:sz w:val="24"/>
                <w:szCs w:val="24"/>
                <w:highlight w:val="none"/>
                <w:lang w:val="en-US" w:eastAsia="zh-CN"/>
              </w:rPr>
              <w:t>堆</w:t>
            </w:r>
            <w:r>
              <w:rPr>
                <w:rFonts w:hint="eastAsia" w:ascii="Times New Roman" w:hAnsi="Times New Roman" w:eastAsia="宋体" w:cs="Times New Roman"/>
                <w:b w:val="0"/>
                <w:bCs/>
                <w:color w:val="auto"/>
                <w:spacing w:val="0"/>
                <w:sz w:val="24"/>
                <w:szCs w:val="24"/>
                <w:highlight w:val="none"/>
                <w:lang w:val="en-US" w:eastAsia="zh-CN"/>
              </w:rPr>
              <w:t>场</w:t>
            </w:r>
            <w:r>
              <w:rPr>
                <w:rFonts w:hint="eastAsia" w:ascii="Times New Roman" w:hAnsi="Times New Roman" w:eastAsia="宋体" w:cs="Times New Roman"/>
                <w:b w:val="0"/>
                <w:bCs/>
                <w:color w:val="auto"/>
                <w:spacing w:val="0"/>
                <w:sz w:val="24"/>
                <w:szCs w:val="24"/>
                <w:highlight w:val="none"/>
                <w:lang w:eastAsia="zh-CN"/>
              </w:rPr>
              <w:t>四周设置</w:t>
            </w:r>
            <w:r>
              <w:rPr>
                <w:rFonts w:hint="default" w:ascii="Times New Roman" w:hAnsi="Times New Roman" w:eastAsia="宋体" w:cs="Times New Roman"/>
                <w:b w:val="0"/>
                <w:bCs/>
                <w:color w:val="auto"/>
                <w:spacing w:val="0"/>
                <w:sz w:val="24"/>
                <w:szCs w:val="24"/>
                <w:highlight w:val="none"/>
                <w:lang w:val="en-US" w:eastAsia="zh-CN"/>
              </w:rPr>
              <w:t>防风抑尘网</w:t>
            </w:r>
            <w:r>
              <w:rPr>
                <w:rFonts w:hint="eastAsia" w:ascii="Times New Roman" w:hAnsi="Times New Roman" w:eastAsia="宋体" w:cs="Times New Roman"/>
                <w:b w:val="0"/>
                <w:bCs/>
                <w:color w:val="auto"/>
                <w:spacing w:val="0"/>
                <w:sz w:val="24"/>
                <w:szCs w:val="24"/>
                <w:highlight w:val="none"/>
                <w:lang w:val="en-US" w:eastAsia="zh-CN"/>
              </w:rPr>
              <w:t>，并洒水抑尘；水泥和粉煤灰采用筒仓存储，水泥、粉煤灰筒仓</w:t>
            </w:r>
            <w:r>
              <w:rPr>
                <w:rFonts w:hint="eastAsia" w:ascii="Times New Roman" w:hAnsi="Times New Roman" w:eastAsia="宋体" w:cs="Times New Roman"/>
                <w:b w:val="0"/>
                <w:bCs/>
                <w:color w:val="auto"/>
                <w:spacing w:val="0"/>
                <w:sz w:val="24"/>
                <w:szCs w:val="24"/>
                <w:highlight w:val="none"/>
              </w:rPr>
              <w:t>均配备仓顶式布袋除尘器，废气经处理后由无组织形式排放；</w:t>
            </w:r>
            <w:r>
              <w:rPr>
                <w:rFonts w:hint="eastAsia" w:ascii="Times New Roman" w:hAnsi="Times New Roman" w:eastAsia="宋体" w:cs="Times New Roman"/>
                <w:b w:val="0"/>
                <w:bCs/>
                <w:color w:val="auto"/>
                <w:spacing w:val="0"/>
                <w:sz w:val="24"/>
                <w:szCs w:val="24"/>
                <w:highlight w:val="none"/>
                <w:lang w:val="en-US" w:eastAsia="zh-CN"/>
              </w:rPr>
              <w:t>投料</w:t>
            </w:r>
            <w:r>
              <w:rPr>
                <w:rFonts w:hint="default" w:ascii="Times New Roman" w:hAnsi="Times New Roman" w:eastAsia="宋体" w:cs="Times New Roman"/>
                <w:b w:val="0"/>
                <w:bCs/>
                <w:color w:val="auto"/>
                <w:spacing w:val="0"/>
                <w:sz w:val="24"/>
                <w:szCs w:val="24"/>
                <w:highlight w:val="none"/>
                <w:lang w:val="en-US" w:eastAsia="zh-CN"/>
              </w:rPr>
              <w:t>斗设置</w:t>
            </w:r>
            <w:r>
              <w:rPr>
                <w:rFonts w:hint="eastAsia" w:ascii="Times New Roman" w:hAnsi="Times New Roman" w:eastAsia="宋体" w:cs="Times New Roman"/>
                <w:b w:val="0"/>
                <w:bCs/>
                <w:color w:val="auto"/>
                <w:spacing w:val="0"/>
                <w:sz w:val="24"/>
                <w:szCs w:val="24"/>
                <w:highlight w:val="none"/>
                <w:lang w:val="en-US" w:eastAsia="zh-CN"/>
              </w:rPr>
              <w:t>在</w:t>
            </w:r>
            <w:r>
              <w:rPr>
                <w:rFonts w:hint="eastAsia" w:ascii="Times New Roman" w:hAnsi="Times New Roman" w:eastAsia="宋体" w:cs="Times New Roman"/>
                <w:b w:val="0"/>
                <w:bCs/>
                <w:color w:val="auto"/>
                <w:kern w:val="2"/>
                <w:sz w:val="24"/>
                <w:szCs w:val="24"/>
                <w:highlight w:val="none"/>
                <w:lang w:val="en-US" w:eastAsia="zh-CN" w:bidi="ar-SA"/>
              </w:rPr>
              <w:t>半封闭式罩棚内</w:t>
            </w:r>
            <w:r>
              <w:rPr>
                <w:rFonts w:hint="default" w:ascii="Times New Roman" w:hAnsi="Times New Roman" w:eastAsia="宋体" w:cs="Times New Roman"/>
                <w:b w:val="0"/>
                <w:bCs/>
                <w:color w:val="auto"/>
                <w:spacing w:val="0"/>
                <w:sz w:val="24"/>
                <w:szCs w:val="24"/>
                <w:highlight w:val="none"/>
                <w:lang w:val="en-US" w:eastAsia="zh-CN"/>
              </w:rPr>
              <w:t>，</w:t>
            </w:r>
            <w:r>
              <w:rPr>
                <w:rFonts w:hint="eastAsia" w:ascii="Times New Roman" w:hAnsi="Times New Roman" w:eastAsia="宋体" w:cs="Times New Roman"/>
                <w:b w:val="0"/>
                <w:bCs/>
                <w:color w:val="auto"/>
                <w:spacing w:val="0"/>
                <w:sz w:val="24"/>
                <w:szCs w:val="24"/>
                <w:highlight w:val="none"/>
                <w:lang w:val="en-US" w:eastAsia="zh-CN"/>
              </w:rPr>
              <w:t>并在投料</w:t>
            </w:r>
            <w:r>
              <w:rPr>
                <w:rFonts w:hint="default" w:ascii="Times New Roman" w:hAnsi="Times New Roman" w:eastAsia="宋体" w:cs="Times New Roman"/>
                <w:b w:val="0"/>
                <w:bCs/>
                <w:color w:val="auto"/>
                <w:spacing w:val="0"/>
                <w:sz w:val="24"/>
                <w:szCs w:val="24"/>
                <w:highlight w:val="none"/>
                <w:lang w:val="en-US" w:eastAsia="zh-CN"/>
              </w:rPr>
              <w:t>斗</w:t>
            </w:r>
            <w:r>
              <w:rPr>
                <w:rFonts w:hint="eastAsia" w:ascii="Times New Roman" w:hAnsi="Times New Roman" w:eastAsia="宋体" w:cs="Times New Roman"/>
                <w:b w:val="0"/>
                <w:bCs/>
                <w:color w:val="auto"/>
                <w:spacing w:val="0"/>
                <w:sz w:val="24"/>
                <w:szCs w:val="24"/>
                <w:highlight w:val="none"/>
                <w:lang w:val="en-US" w:eastAsia="zh-CN"/>
              </w:rPr>
              <w:t>上方</w:t>
            </w:r>
            <w:r>
              <w:rPr>
                <w:rFonts w:hint="default" w:ascii="Times New Roman" w:hAnsi="Times New Roman" w:eastAsia="宋体" w:cs="Times New Roman"/>
                <w:b w:val="0"/>
                <w:bCs/>
                <w:color w:val="auto"/>
                <w:spacing w:val="0"/>
                <w:sz w:val="24"/>
                <w:szCs w:val="24"/>
                <w:highlight w:val="none"/>
                <w:lang w:val="en-US" w:eastAsia="zh-CN"/>
              </w:rPr>
              <w:t>设置</w:t>
            </w:r>
            <w:r>
              <w:rPr>
                <w:rFonts w:hint="eastAsia" w:ascii="Times New Roman" w:hAnsi="Times New Roman" w:eastAsia="宋体" w:cs="Times New Roman"/>
                <w:b w:val="0"/>
                <w:bCs/>
                <w:color w:val="auto"/>
                <w:spacing w:val="0"/>
                <w:sz w:val="24"/>
                <w:szCs w:val="24"/>
                <w:highlight w:val="none"/>
                <w:lang w:val="en-US" w:eastAsia="zh-CN"/>
              </w:rPr>
              <w:t>雾化喷淋装置；水泥、砂石、粉煤灰进入搅拌机均采用密闭式输送；</w:t>
            </w:r>
            <w:r>
              <w:rPr>
                <w:rFonts w:hint="eastAsia" w:ascii="Times New Roman" w:hAnsi="Times New Roman" w:eastAsia="宋体" w:cs="Times New Roman"/>
                <w:b w:val="0"/>
                <w:bCs/>
                <w:color w:val="auto"/>
                <w:spacing w:val="0"/>
                <w:sz w:val="24"/>
                <w:szCs w:val="24"/>
                <w:highlight w:val="none"/>
              </w:rPr>
              <w:t>厂区地面进行硬化，定时洒水抑尘</w:t>
            </w:r>
            <w:r>
              <w:rPr>
                <w:rFonts w:hint="eastAsia" w:cs="Times New Roman"/>
                <w:b w:val="0"/>
                <w:bCs/>
                <w:color w:val="auto"/>
                <w:spacing w:val="0"/>
                <w:sz w:val="24"/>
                <w:szCs w:val="24"/>
                <w:highlight w:val="none"/>
                <w:lang w:eastAsia="zh-CN"/>
              </w:rPr>
              <w:t>。</w:t>
            </w:r>
          </w:p>
        </w:tc>
        <w:tc>
          <w:tcPr>
            <w:tcW w:w="20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Cs/>
                <w:color w:val="auto"/>
                <w:szCs w:val="21"/>
                <w:highlight w:val="none"/>
              </w:rPr>
              <w:t>《</w:t>
            </w:r>
            <w:r>
              <w:rPr>
                <w:rFonts w:hint="eastAsia" w:ascii="Times New Roman" w:hAnsi="Times New Roman" w:eastAsia="宋体" w:cs="Times New Roman"/>
                <w:color w:val="auto"/>
                <w:kern w:val="2"/>
                <w:sz w:val="24"/>
                <w:szCs w:val="24"/>
                <w:highlight w:val="none"/>
                <w:lang w:val="en-US" w:eastAsia="zh-CN" w:bidi="ar-SA"/>
              </w:rPr>
              <w:t>水泥</w:t>
            </w:r>
            <w:r>
              <w:rPr>
                <w:rFonts w:hint="default" w:ascii="Times New Roman" w:hAnsi="Times New Roman" w:eastAsia="宋体" w:cs="Times New Roman"/>
                <w:color w:val="auto"/>
                <w:kern w:val="2"/>
                <w:sz w:val="24"/>
                <w:szCs w:val="24"/>
                <w:highlight w:val="none"/>
                <w:lang w:val="en-US" w:eastAsia="zh-CN" w:bidi="ar-SA"/>
              </w:rPr>
              <w:t>工业大气污染物排放标准》（GB4915-2013）</w:t>
            </w:r>
            <w:r>
              <w:rPr>
                <w:rFonts w:hint="eastAsia" w:ascii="Times New Roman" w:hAnsi="Times New Roman" w:eastAsia="宋体" w:cs="Times New Roman"/>
                <w:color w:val="auto"/>
                <w:kern w:val="2"/>
                <w:sz w:val="24"/>
                <w:szCs w:val="24"/>
                <w:highlight w:val="none"/>
                <w:lang w:val="en-US" w:eastAsia="zh-CN" w:bidi="ar-SA"/>
              </w:rPr>
              <w:t>表</w:t>
            </w:r>
            <w:r>
              <w:rPr>
                <w:rFonts w:hint="default" w:ascii="Times New Roman" w:hAnsi="Times New Roman" w:eastAsia="宋体" w:cs="Times New Roman"/>
                <w:color w:val="auto"/>
                <w:kern w:val="2"/>
                <w:sz w:val="24"/>
                <w:szCs w:val="24"/>
                <w:highlight w:val="none"/>
                <w:lang w:val="en-US" w:eastAsia="zh-CN" w:bidi="ar-SA"/>
              </w:rPr>
              <w:t>3标准</w:t>
            </w:r>
            <w:r>
              <w:rPr>
                <w:rFonts w:hint="eastAsia" w:ascii="Times New Roman" w:hAnsi="Times New Roman" w:eastAsia="宋体" w:cs="Times New Roman"/>
                <w:color w:val="auto"/>
                <w:kern w:val="2"/>
                <w:sz w:val="24"/>
                <w:szCs w:val="24"/>
                <w:highlight w:val="none"/>
                <w:lang w:val="en-US" w:eastAsia="zh-CN" w:bidi="ar-SA"/>
              </w:rPr>
              <w:t>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04" w:hRule="atLeast"/>
          <w:jc w:val="center"/>
        </w:trPr>
        <w:tc>
          <w:tcPr>
            <w:tcW w:w="1678" w:type="dxa"/>
            <w:vMerge w:val="restart"/>
            <w:vAlign w:val="center"/>
          </w:tcPr>
          <w:p>
            <w:pPr>
              <w:adjustRightInd w:val="0"/>
              <w:snapToGrid w:val="0"/>
              <w:jc w:val="center"/>
              <w:rPr>
                <w:color w:val="auto"/>
                <w:sz w:val="24"/>
                <w:highlight w:val="none"/>
              </w:rPr>
            </w:pPr>
            <w:r>
              <w:rPr>
                <w:color w:val="auto"/>
                <w:sz w:val="24"/>
                <w:highlight w:val="none"/>
              </w:rPr>
              <w:t>地表水环境</w:t>
            </w:r>
          </w:p>
        </w:tc>
        <w:tc>
          <w:tcPr>
            <w:tcW w:w="1687" w:type="dxa"/>
            <w:vAlign w:val="center"/>
          </w:tcPr>
          <w:p>
            <w:pPr>
              <w:adjustRightInd w:val="0"/>
              <w:snapToGrid w:val="0"/>
              <w:jc w:val="center"/>
              <w:rPr>
                <w:color w:val="auto"/>
                <w:sz w:val="24"/>
                <w:highlight w:val="none"/>
              </w:rPr>
            </w:pPr>
            <w:r>
              <w:rPr>
                <w:color w:val="auto"/>
                <w:sz w:val="24"/>
                <w:highlight w:val="none"/>
              </w:rPr>
              <w:t>生活污水</w:t>
            </w:r>
          </w:p>
        </w:tc>
        <w:tc>
          <w:tcPr>
            <w:tcW w:w="1172" w:type="dxa"/>
            <w:vAlign w:val="center"/>
          </w:tcPr>
          <w:p>
            <w:pPr>
              <w:adjustRightInd w:val="0"/>
              <w:snapToGrid w:val="0"/>
              <w:jc w:val="center"/>
              <w:rPr>
                <w:color w:val="auto"/>
                <w:sz w:val="24"/>
                <w:highlight w:val="none"/>
              </w:rPr>
            </w:pPr>
            <w:r>
              <w:rPr>
                <w:rFonts w:hint="default" w:ascii="Times New Roman" w:hAnsi="Times New Roman" w:cs="Times New Roman"/>
                <w:color w:val="auto"/>
                <w:sz w:val="24"/>
                <w:highlight w:val="none"/>
              </w:rPr>
              <w:t>COD</w:t>
            </w:r>
          </w:p>
          <w:p>
            <w:pPr>
              <w:adjustRightInd w:val="0"/>
              <w:snapToGrid w:val="0"/>
              <w:jc w:val="center"/>
              <w:rPr>
                <w:color w:val="auto"/>
                <w:sz w:val="24"/>
                <w:highlight w:val="none"/>
              </w:rPr>
            </w:pPr>
            <w:r>
              <w:rPr>
                <w:rFonts w:hint="default" w:ascii="Times New Roman" w:hAnsi="Times New Roman" w:cs="Times New Roman"/>
                <w:color w:val="auto"/>
                <w:sz w:val="24"/>
                <w:highlight w:val="none"/>
              </w:rPr>
              <w:t>SS</w:t>
            </w:r>
          </w:p>
          <w:p>
            <w:pPr>
              <w:adjustRightInd w:val="0"/>
              <w:snapToGrid w:val="0"/>
              <w:jc w:val="center"/>
              <w:rPr>
                <w:color w:val="auto"/>
                <w:sz w:val="24"/>
                <w:highlight w:val="none"/>
              </w:rPr>
            </w:pPr>
            <w:r>
              <w:rPr>
                <w:color w:val="auto"/>
                <w:sz w:val="24"/>
                <w:highlight w:val="none"/>
              </w:rPr>
              <w:t>氨氮</w:t>
            </w:r>
          </w:p>
          <w:p>
            <w:pPr>
              <w:adjustRightInd w:val="0"/>
              <w:snapToGrid w:val="0"/>
              <w:jc w:val="center"/>
              <w:rPr>
                <w:color w:val="auto"/>
                <w:sz w:val="24"/>
                <w:highlight w:val="none"/>
              </w:rPr>
            </w:pPr>
            <w:r>
              <w:rPr>
                <w:rFonts w:hint="default" w:ascii="Times New Roman" w:hAnsi="Times New Roman" w:cs="Times New Roman"/>
                <w:color w:val="auto"/>
                <w:sz w:val="24"/>
                <w:highlight w:val="none"/>
              </w:rPr>
              <w:t>BOD</w:t>
            </w:r>
            <w:r>
              <w:rPr>
                <w:rFonts w:hint="default" w:ascii="Times New Roman" w:hAnsi="Times New Roman" w:cs="Times New Roman"/>
                <w:color w:val="auto"/>
                <w:sz w:val="24"/>
                <w:highlight w:val="none"/>
                <w:vertAlign w:val="subscript"/>
              </w:rPr>
              <w:t>5</w:t>
            </w:r>
          </w:p>
        </w:tc>
        <w:tc>
          <w:tcPr>
            <w:tcW w:w="2963" w:type="dxa"/>
            <w:vAlign w:val="center"/>
          </w:tcPr>
          <w:p>
            <w:pPr>
              <w:adjustRightInd w:val="0"/>
              <w:snapToGrid w:val="0"/>
              <w:jc w:val="center"/>
              <w:rPr>
                <w:rFonts w:hint="eastAsia" w:eastAsia="宋体"/>
                <w:color w:val="auto"/>
                <w:sz w:val="24"/>
                <w:highlight w:val="none"/>
                <w:lang w:eastAsia="zh-CN"/>
              </w:rPr>
            </w:pPr>
            <w:r>
              <w:rPr>
                <w:color w:val="auto"/>
                <w:sz w:val="24"/>
                <w:highlight w:val="none"/>
              </w:rPr>
              <w:t>生活污水排入防渗旱厕，定期清掏，外运堆肥</w:t>
            </w:r>
            <w:r>
              <w:rPr>
                <w:rFonts w:hint="eastAsia"/>
                <w:color w:val="auto"/>
                <w:sz w:val="24"/>
                <w:highlight w:val="none"/>
                <w:lang w:eastAsia="zh-CN"/>
              </w:rPr>
              <w:t>。</w:t>
            </w:r>
          </w:p>
        </w:tc>
        <w:tc>
          <w:tcPr>
            <w:tcW w:w="2024" w:type="dxa"/>
            <w:vAlign w:val="center"/>
          </w:tcPr>
          <w:p>
            <w:pPr>
              <w:adjustRightInd w:val="0"/>
              <w:snapToGrid w:val="0"/>
              <w:jc w:val="center"/>
              <w:rPr>
                <w:rFonts w:hint="eastAsia" w:eastAsia="宋体"/>
                <w:color w:val="auto"/>
                <w:sz w:val="24"/>
                <w:highlight w:val="none"/>
                <w:lang w:eastAsia="zh-CN"/>
              </w:rPr>
            </w:pPr>
            <w:r>
              <w:rPr>
                <w:rFonts w:hint="eastAsia"/>
                <w:color w:val="auto"/>
                <w:sz w:val="24"/>
                <w:highlight w:val="none"/>
                <w:lang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jc w:val="center"/>
        </w:trPr>
        <w:tc>
          <w:tcPr>
            <w:tcW w:w="1678" w:type="dxa"/>
            <w:vMerge w:val="continue"/>
            <w:vAlign w:val="center"/>
          </w:tcPr>
          <w:p>
            <w:pPr>
              <w:adjustRightInd w:val="0"/>
              <w:snapToGrid w:val="0"/>
              <w:jc w:val="center"/>
              <w:rPr>
                <w:color w:val="auto"/>
                <w:sz w:val="24"/>
                <w:highlight w:val="none"/>
              </w:rPr>
            </w:pPr>
          </w:p>
        </w:tc>
        <w:tc>
          <w:tcPr>
            <w:tcW w:w="1687" w:type="dxa"/>
            <w:vAlign w:val="center"/>
          </w:tcPr>
          <w:p>
            <w:pPr>
              <w:adjustRightInd w:val="0"/>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生产废水</w:t>
            </w:r>
          </w:p>
        </w:tc>
        <w:tc>
          <w:tcPr>
            <w:tcW w:w="1172" w:type="dxa"/>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SS</w:t>
            </w:r>
            <w:r>
              <w:rPr>
                <w:rFonts w:hint="eastAsia" w:cs="Times New Roman"/>
                <w:color w:val="auto"/>
                <w:sz w:val="24"/>
                <w:highlight w:val="none"/>
                <w:lang w:val="en-US" w:eastAsia="zh-CN"/>
              </w:rPr>
              <w:t>、石油类</w:t>
            </w:r>
          </w:p>
        </w:tc>
        <w:tc>
          <w:tcPr>
            <w:tcW w:w="2963" w:type="dxa"/>
            <w:vAlign w:val="center"/>
          </w:tcPr>
          <w:p>
            <w:pPr>
              <w:adjustRightInd w:val="0"/>
              <w:snapToGrid w:val="0"/>
              <w:jc w:val="center"/>
              <w:rPr>
                <w:rFonts w:ascii="Times New Roman" w:hAnsi="Times New Roman" w:eastAsia="宋体" w:cs="Times New Roman"/>
                <w:color w:val="auto"/>
                <w:sz w:val="24"/>
                <w:highlight w:val="none"/>
              </w:rPr>
            </w:pPr>
            <w:r>
              <w:rPr>
                <w:rFonts w:hint="eastAsia" w:cs="Times New Roman"/>
                <w:color w:val="auto"/>
                <w:sz w:val="24"/>
                <w:highlight w:val="none"/>
                <w:lang w:val="en-US" w:eastAsia="zh-CN"/>
              </w:rPr>
              <w:t>搅拌机</w:t>
            </w:r>
            <w:r>
              <w:rPr>
                <w:rFonts w:hint="default" w:ascii="Times New Roman" w:hAnsi="Times New Roman" w:eastAsia="宋体" w:cs="Times New Roman"/>
                <w:color w:val="auto"/>
                <w:sz w:val="24"/>
                <w:highlight w:val="none"/>
              </w:rPr>
              <w:t>清洗</w:t>
            </w:r>
            <w:r>
              <w:rPr>
                <w:rFonts w:hint="eastAsia" w:cs="Times New Roman"/>
                <w:color w:val="auto"/>
                <w:sz w:val="24"/>
                <w:highlight w:val="none"/>
                <w:lang w:val="en-US" w:eastAsia="zh-CN"/>
              </w:rPr>
              <w:t>和罐车清洗</w:t>
            </w:r>
            <w:r>
              <w:rPr>
                <w:rFonts w:hint="default" w:ascii="Times New Roman" w:hAnsi="Times New Roman" w:eastAsia="宋体" w:cs="Times New Roman"/>
                <w:color w:val="auto"/>
                <w:sz w:val="24"/>
                <w:highlight w:val="none"/>
              </w:rPr>
              <w:t>废水</w:t>
            </w:r>
            <w:r>
              <w:rPr>
                <w:rFonts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经沉淀池处理后回用于搅拌工序</w:t>
            </w:r>
          </w:p>
        </w:tc>
        <w:tc>
          <w:tcPr>
            <w:tcW w:w="2024" w:type="dxa"/>
            <w:vAlign w:val="center"/>
          </w:tcPr>
          <w:p>
            <w:pPr>
              <w:adjustRightInd w:val="0"/>
              <w:snapToGrid w:val="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jc w:val="center"/>
        </w:trPr>
        <w:tc>
          <w:tcPr>
            <w:tcW w:w="1678" w:type="dxa"/>
            <w:vMerge w:val="continue"/>
            <w:vAlign w:val="center"/>
          </w:tcPr>
          <w:p>
            <w:pPr>
              <w:adjustRightInd w:val="0"/>
              <w:snapToGrid w:val="0"/>
              <w:jc w:val="center"/>
              <w:rPr>
                <w:color w:val="auto"/>
                <w:sz w:val="24"/>
                <w:highlight w:val="none"/>
              </w:rPr>
            </w:pPr>
          </w:p>
        </w:tc>
        <w:tc>
          <w:tcPr>
            <w:tcW w:w="1687" w:type="dxa"/>
            <w:vAlign w:val="center"/>
          </w:tcPr>
          <w:p>
            <w:pPr>
              <w:adjustRightInd w:val="0"/>
              <w:snapToGrid w:val="0"/>
              <w:jc w:val="center"/>
              <w:rPr>
                <w:rFonts w:hint="default" w:eastAsia="宋体"/>
                <w:color w:val="auto"/>
                <w:szCs w:val="21"/>
                <w:highlight w:val="none"/>
                <w:lang w:val="en-US" w:eastAsia="zh-CN"/>
              </w:rPr>
            </w:pPr>
            <w:r>
              <w:rPr>
                <w:rFonts w:hint="eastAsia" w:ascii="Times New Roman" w:hAnsi="Times New Roman" w:eastAsia="宋体" w:cs="Times New Roman"/>
                <w:color w:val="auto"/>
                <w:sz w:val="24"/>
                <w:highlight w:val="none"/>
                <w:lang w:val="en-US" w:eastAsia="zh-CN"/>
              </w:rPr>
              <w:t>初期雨水</w:t>
            </w:r>
          </w:p>
        </w:tc>
        <w:tc>
          <w:tcPr>
            <w:tcW w:w="1172" w:type="dxa"/>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SS</w:t>
            </w:r>
          </w:p>
        </w:tc>
        <w:tc>
          <w:tcPr>
            <w:tcW w:w="2963" w:type="dxa"/>
            <w:vAlign w:val="center"/>
          </w:tcPr>
          <w:p>
            <w:pPr>
              <w:adjustRightInd w:val="0"/>
              <w:snapToGrid w:val="0"/>
              <w:jc w:val="center"/>
              <w:rPr>
                <w:rFonts w:hint="default"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经沉淀池处理后回用于</w:t>
            </w:r>
            <w:r>
              <w:rPr>
                <w:rFonts w:hint="eastAsia" w:cs="Times New Roman"/>
                <w:color w:val="auto"/>
                <w:sz w:val="24"/>
                <w:highlight w:val="none"/>
                <w:lang w:val="en-US" w:eastAsia="zh-CN"/>
              </w:rPr>
              <w:t>生产</w:t>
            </w:r>
          </w:p>
        </w:tc>
        <w:tc>
          <w:tcPr>
            <w:tcW w:w="2024" w:type="dxa"/>
            <w:vAlign w:val="center"/>
          </w:tcPr>
          <w:p>
            <w:pPr>
              <w:adjustRightInd w:val="0"/>
              <w:snapToGrid w:val="0"/>
              <w:jc w:val="center"/>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78" w:type="dxa"/>
            <w:vAlign w:val="center"/>
          </w:tcPr>
          <w:p>
            <w:pPr>
              <w:adjustRightInd w:val="0"/>
              <w:snapToGrid w:val="0"/>
              <w:jc w:val="center"/>
              <w:rPr>
                <w:color w:val="auto"/>
                <w:sz w:val="24"/>
                <w:highlight w:val="none"/>
              </w:rPr>
            </w:pPr>
            <w:r>
              <w:rPr>
                <w:color w:val="auto"/>
                <w:sz w:val="24"/>
                <w:highlight w:val="none"/>
              </w:rPr>
              <w:t>声环境</w:t>
            </w:r>
          </w:p>
        </w:tc>
        <w:tc>
          <w:tcPr>
            <w:tcW w:w="1687" w:type="dxa"/>
            <w:vAlign w:val="center"/>
          </w:tcPr>
          <w:p>
            <w:pPr>
              <w:pStyle w:val="76"/>
              <w:rPr>
                <w:color w:val="auto"/>
                <w:kern w:val="2"/>
                <w:sz w:val="24"/>
                <w:szCs w:val="24"/>
                <w:highlight w:val="none"/>
              </w:rPr>
            </w:pPr>
            <w:r>
              <w:rPr>
                <w:color w:val="auto"/>
                <w:kern w:val="2"/>
                <w:sz w:val="24"/>
                <w:szCs w:val="24"/>
                <w:highlight w:val="none"/>
              </w:rPr>
              <w:t>生产设备</w:t>
            </w:r>
          </w:p>
        </w:tc>
        <w:tc>
          <w:tcPr>
            <w:tcW w:w="1172" w:type="dxa"/>
            <w:vAlign w:val="center"/>
          </w:tcPr>
          <w:p>
            <w:pPr>
              <w:pStyle w:val="76"/>
              <w:rPr>
                <w:color w:val="auto"/>
                <w:kern w:val="2"/>
                <w:sz w:val="24"/>
                <w:szCs w:val="24"/>
                <w:highlight w:val="none"/>
              </w:rPr>
            </w:pPr>
            <w:r>
              <w:rPr>
                <w:color w:val="auto"/>
                <w:kern w:val="2"/>
                <w:sz w:val="24"/>
                <w:szCs w:val="24"/>
                <w:highlight w:val="none"/>
              </w:rPr>
              <w:t>噪声</w:t>
            </w:r>
          </w:p>
        </w:tc>
        <w:tc>
          <w:tcPr>
            <w:tcW w:w="2963" w:type="dxa"/>
            <w:vAlign w:val="center"/>
          </w:tcPr>
          <w:p>
            <w:pPr>
              <w:pStyle w:val="76"/>
              <w:jc w:val="both"/>
              <w:rPr>
                <w:color w:val="auto"/>
                <w:kern w:val="2"/>
                <w:sz w:val="24"/>
                <w:szCs w:val="24"/>
                <w:highlight w:val="none"/>
              </w:rPr>
            </w:pPr>
            <w:r>
              <w:rPr>
                <w:color w:val="auto"/>
                <w:kern w:val="2"/>
                <w:sz w:val="24"/>
                <w:szCs w:val="24"/>
                <w:highlight w:val="none"/>
              </w:rPr>
              <w:t>选用低噪声设备、设备底座安装减震垫、车间内加装隔声材料、设备合理布局等措施</w:t>
            </w:r>
          </w:p>
        </w:tc>
        <w:tc>
          <w:tcPr>
            <w:tcW w:w="2024" w:type="dxa"/>
            <w:vAlign w:val="center"/>
          </w:tcPr>
          <w:p>
            <w:pPr>
              <w:adjustRightInd w:val="0"/>
              <w:snapToGrid w:val="0"/>
              <w:rPr>
                <w:color w:val="auto"/>
                <w:sz w:val="24"/>
                <w:highlight w:val="none"/>
              </w:rPr>
            </w:pPr>
            <w:r>
              <w:rPr>
                <w:color w:val="auto"/>
                <w:sz w:val="24"/>
                <w:highlight w:val="none"/>
              </w:rPr>
              <w:t>厂界满足《工业企业厂界环境噪声排放标准》（</w:t>
            </w:r>
            <w:r>
              <w:rPr>
                <w:rFonts w:hint="default" w:ascii="Times New Roman" w:hAnsi="Times New Roman" w:cs="Times New Roman"/>
                <w:color w:val="auto"/>
                <w:sz w:val="24"/>
                <w:highlight w:val="none"/>
              </w:rPr>
              <w:t>GB12348</w:t>
            </w:r>
            <w:r>
              <w:rPr>
                <w:color w:val="auto"/>
                <w:sz w:val="24"/>
                <w:highlight w:val="none"/>
              </w:rPr>
              <w:t>-</w:t>
            </w:r>
            <w:r>
              <w:rPr>
                <w:rFonts w:hint="default" w:ascii="Times New Roman" w:hAnsi="Times New Roman" w:cs="Times New Roman"/>
                <w:color w:val="auto"/>
                <w:sz w:val="24"/>
                <w:highlight w:val="none"/>
              </w:rPr>
              <w:t>2008</w:t>
            </w:r>
            <w:r>
              <w:rPr>
                <w:color w:val="auto"/>
                <w:sz w:val="24"/>
                <w:highlight w:val="none"/>
              </w:rPr>
              <w:t>）表</w:t>
            </w:r>
            <w:r>
              <w:rPr>
                <w:rFonts w:hint="default" w:ascii="Times New Roman" w:hAnsi="Times New Roman" w:cs="Times New Roman"/>
                <w:color w:val="auto"/>
                <w:sz w:val="24"/>
                <w:highlight w:val="none"/>
              </w:rPr>
              <w:t>1</w:t>
            </w:r>
            <w:r>
              <w:rPr>
                <w:color w:val="auto"/>
                <w:sz w:val="24"/>
                <w:highlight w:val="none"/>
              </w:rPr>
              <w:t>中</w:t>
            </w:r>
            <w:r>
              <w:rPr>
                <w:rFonts w:hint="default" w:ascii="Times New Roman" w:hAnsi="Times New Roman" w:cs="Times New Roman"/>
                <w:color w:val="auto"/>
                <w:sz w:val="24"/>
                <w:highlight w:val="none"/>
              </w:rPr>
              <w:t>2</w:t>
            </w:r>
            <w:r>
              <w:rPr>
                <w:rFonts w:hint="eastAsia"/>
                <w:color w:val="auto"/>
                <w:sz w:val="24"/>
                <w:highlight w:val="none"/>
                <w:lang w:eastAsia="zh-CN"/>
              </w:rPr>
              <w:t>、</w:t>
            </w:r>
            <w:r>
              <w:rPr>
                <w:rFonts w:hint="default" w:ascii="Times New Roman" w:hAnsi="Times New Roman" w:cs="Times New Roman"/>
                <w:color w:val="auto"/>
                <w:sz w:val="24"/>
                <w:highlight w:val="none"/>
                <w:lang w:val="en-US" w:eastAsia="zh-CN"/>
              </w:rPr>
              <w:t>4</w:t>
            </w:r>
            <w:r>
              <w:rPr>
                <w:rFonts w:hint="eastAsia" w:cs="Times New Roman"/>
                <w:color w:val="auto"/>
                <w:sz w:val="24"/>
                <w:highlight w:val="none"/>
                <w:lang w:val="en-US" w:eastAsia="zh-CN"/>
              </w:rPr>
              <w:t>a</w:t>
            </w:r>
            <w:r>
              <w:rPr>
                <w:color w:val="auto"/>
                <w:sz w:val="24"/>
                <w:highlight w:val="none"/>
              </w:rPr>
              <w:t>类标准的要求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74" w:hRule="atLeast"/>
          <w:jc w:val="center"/>
        </w:trPr>
        <w:tc>
          <w:tcPr>
            <w:tcW w:w="167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highlight w:val="none"/>
              </w:rPr>
            </w:pPr>
            <w:r>
              <w:rPr>
                <w:color w:val="auto"/>
                <w:sz w:val="24"/>
                <w:highlight w:val="none"/>
              </w:rPr>
              <w:t>固体废物</w:t>
            </w:r>
          </w:p>
        </w:tc>
        <w:tc>
          <w:tcPr>
            <w:tcW w:w="7846" w:type="dxa"/>
            <w:gridSpan w:val="4"/>
            <w:vAlign w:val="center"/>
          </w:tcPr>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eastAsia="zh-CN"/>
              </w:rPr>
            </w:pPr>
            <w:r>
              <w:rPr>
                <w:rFonts w:hint="eastAsia" w:cs="Times New Roman"/>
                <w:color w:val="auto"/>
                <w:kern w:val="2"/>
                <w:sz w:val="24"/>
                <w:szCs w:val="24"/>
                <w:highlight w:val="none"/>
                <w:lang w:val="en-US" w:eastAsia="zh-CN" w:bidi="ar-SA"/>
              </w:rPr>
              <w:t>生活垃圾集中收集交由环卫部门统一处置；实验室废料</w:t>
            </w:r>
            <w:r>
              <w:rPr>
                <w:rFonts w:hint="eastAsia" w:ascii="Times New Roman" w:hAnsi="Times New Roman" w:cs="Times New Roman"/>
                <w:color w:val="auto"/>
                <w:kern w:val="0"/>
                <w:sz w:val="24"/>
                <w:highlight w:val="none"/>
                <w:lang w:val="en-US" w:eastAsia="zh-CN"/>
              </w:rPr>
              <w:t>集中收集后收集后外售用于修筑道路；</w:t>
            </w:r>
            <w:r>
              <w:rPr>
                <w:rFonts w:hint="eastAsia" w:cs="Times New Roman"/>
                <w:color w:val="auto"/>
                <w:kern w:val="2"/>
                <w:sz w:val="24"/>
                <w:szCs w:val="24"/>
                <w:highlight w:val="none"/>
                <w:lang w:val="en-US" w:eastAsia="zh-CN" w:bidi="ar-SA"/>
              </w:rPr>
              <w:t>布袋除尘器收集的水泥粉尘，回用于生产；沉淀池沉渣经砂石分离后回用于生产；废布袋收集后由厂家回收。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44" w:hRule="atLeast"/>
          <w:jc w:val="center"/>
        </w:trPr>
        <w:tc>
          <w:tcPr>
            <w:tcW w:w="167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highlight w:val="none"/>
              </w:rPr>
            </w:pPr>
            <w:r>
              <w:rPr>
                <w:color w:val="auto"/>
                <w:sz w:val="24"/>
                <w:highlight w:val="none"/>
              </w:rPr>
              <w:t>土壤及地下水污染防治措施</w:t>
            </w:r>
          </w:p>
        </w:tc>
        <w:tc>
          <w:tcPr>
            <w:tcW w:w="784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highlight w:val="none"/>
              </w:rPr>
            </w:pPr>
            <w:r>
              <w:rPr>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167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highlight w:val="none"/>
              </w:rPr>
            </w:pPr>
            <w:r>
              <w:rPr>
                <w:color w:val="auto"/>
                <w:sz w:val="24"/>
                <w:highlight w:val="none"/>
              </w:rPr>
              <w:t>生态保护措施</w:t>
            </w:r>
          </w:p>
        </w:tc>
        <w:tc>
          <w:tcPr>
            <w:tcW w:w="784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highlight w:val="none"/>
              </w:rPr>
            </w:pPr>
            <w:r>
              <w:rPr>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73" w:hRule="atLeast"/>
          <w:jc w:val="center"/>
        </w:trPr>
        <w:tc>
          <w:tcPr>
            <w:tcW w:w="167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highlight w:val="none"/>
              </w:rPr>
            </w:pPr>
            <w:r>
              <w:rPr>
                <w:color w:val="auto"/>
                <w:sz w:val="24"/>
                <w:highlight w:val="none"/>
              </w:rPr>
              <w:t>环境风险</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highlight w:val="none"/>
              </w:rPr>
            </w:pPr>
            <w:r>
              <w:rPr>
                <w:color w:val="auto"/>
                <w:sz w:val="24"/>
                <w:highlight w:val="none"/>
              </w:rPr>
              <w:t>防范措施</w:t>
            </w:r>
          </w:p>
        </w:tc>
        <w:tc>
          <w:tcPr>
            <w:tcW w:w="7846"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 w:val="24"/>
                <w:highlight w:val="none"/>
              </w:rPr>
            </w:pPr>
            <w:r>
              <w:rPr>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70" w:hRule="atLeast"/>
          <w:jc w:val="center"/>
        </w:trPr>
        <w:tc>
          <w:tcPr>
            <w:tcW w:w="1678" w:type="dxa"/>
            <w:vAlign w:val="center"/>
          </w:tcPr>
          <w:p>
            <w:pPr>
              <w:adjustRightInd w:val="0"/>
              <w:snapToGrid w:val="0"/>
              <w:jc w:val="center"/>
              <w:rPr>
                <w:color w:val="auto"/>
                <w:spacing w:val="-8"/>
                <w:sz w:val="24"/>
                <w:highlight w:val="none"/>
              </w:rPr>
            </w:pPr>
            <w:r>
              <w:rPr>
                <w:color w:val="auto"/>
                <w:spacing w:val="-8"/>
                <w:sz w:val="24"/>
                <w:highlight w:val="none"/>
              </w:rPr>
              <w:t>其他环境</w:t>
            </w:r>
          </w:p>
          <w:p>
            <w:pPr>
              <w:adjustRightInd w:val="0"/>
              <w:snapToGrid w:val="0"/>
              <w:jc w:val="center"/>
              <w:rPr>
                <w:color w:val="auto"/>
                <w:spacing w:val="-8"/>
                <w:sz w:val="24"/>
                <w:highlight w:val="none"/>
              </w:rPr>
            </w:pPr>
            <w:r>
              <w:rPr>
                <w:color w:val="auto"/>
                <w:spacing w:val="-8"/>
                <w:sz w:val="24"/>
                <w:highlight w:val="none"/>
              </w:rPr>
              <w:t>管理要求</w:t>
            </w:r>
          </w:p>
        </w:tc>
        <w:tc>
          <w:tcPr>
            <w:tcW w:w="7846" w:type="dxa"/>
            <w:gridSpan w:val="4"/>
            <w:vAlign w:val="center"/>
          </w:tcPr>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1、环境管理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项目在建设和运行过程中，会对周围环境造成一定的影响，应建立比较合理的环境管理体制和管理机构，采取相应的环境保护措施减轻和消除不利的环境影响，以实现预定的各项环保目标。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同时，项目在施工期和运行期，应实行环境监测，以验证环境影响的实际情况和环境保护措施的效果，以便更好地保护环境，为项目环境管理提供依据，更大地发挥工程建设的环境、社会、经济效益。</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a.根据国家环保政策、标准及环境监测要求，制定该项目运行期环保管理规章制度、各种污染物排放控制指标；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b.负责该项目内所有环保设施的日常运行管理，保障各环保设施的正常运行，并对环保设施的改进提出积极的建议；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c.负责该项目运行期环境监测工作，及时掌握该项目污染状况，整理监测数据，建立污染源档案；</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d.项目运行期的环境管理由安全环保部承担；负责该项目内所有环保设施的日常运行管理，保障各环保设施的正常运行，并对环保设施的改进提出积极的建议；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e.负责对职工进行环保宣传教育工作，检查、监督各单位环保制度的执行情况；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f.建立健全环境档案管理与保密制度、污染防治设施设计技术改进及运行资料、污染源调查技术档案、环境监测及评价资料、项目平面图等；</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2、规范排放口</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本项目应按照《环境保护图形标志—排放口（源）》（GB15562.1-1995）、《环境保护图形标志-固体废物贮存(处置)场》（GB15562.2-1995）中有关规定，对排放口设置标示。主要排放口标志见图5-1。</w:t>
            </w:r>
          </w:p>
          <w:tbl>
            <w:tblPr>
              <w:tblStyle w:val="32"/>
              <w:tblW w:w="7234" w:type="dxa"/>
              <w:jc w:val="center"/>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807"/>
              <w:gridCol w:w="1807"/>
              <w:gridCol w:w="1810"/>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574" w:hRule="atLeast"/>
                <w:tblCellSpacing w:w="0" w:type="dxa"/>
                <w:jc w:val="center"/>
              </w:trPr>
              <w:tc>
                <w:tcPr>
                  <w:tcW w:w="180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drawing>
                      <wp:inline distT="0" distB="0" distL="114300" distR="114300">
                        <wp:extent cx="1002030" cy="1002030"/>
                        <wp:effectExtent l="0" t="0" r="7620" b="762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31"/>
                                <a:stretch>
                                  <a:fillRect/>
                                </a:stretch>
                              </pic:blipFill>
                              <pic:spPr>
                                <a:xfrm>
                                  <a:off x="0" y="0"/>
                                  <a:ext cx="1002030" cy="1002030"/>
                                </a:xfrm>
                                <a:prstGeom prst="rect">
                                  <a:avLst/>
                                </a:prstGeom>
                                <a:noFill/>
                                <a:ln>
                                  <a:noFill/>
                                </a:ln>
                              </pic:spPr>
                            </pic:pic>
                          </a:graphicData>
                        </a:graphic>
                      </wp:inline>
                    </w:drawing>
                  </w:r>
                </w:p>
              </w:tc>
              <w:tc>
                <w:tcPr>
                  <w:tcW w:w="180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drawing>
                      <wp:inline distT="0" distB="0" distL="114300" distR="114300">
                        <wp:extent cx="1002030" cy="850900"/>
                        <wp:effectExtent l="0" t="0" r="7620" b="635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32"/>
                                <a:stretch>
                                  <a:fillRect/>
                                </a:stretch>
                              </pic:blipFill>
                              <pic:spPr>
                                <a:xfrm>
                                  <a:off x="0" y="0"/>
                                  <a:ext cx="1002030" cy="850900"/>
                                </a:xfrm>
                                <a:prstGeom prst="rect">
                                  <a:avLst/>
                                </a:prstGeom>
                                <a:noFill/>
                                <a:ln>
                                  <a:noFill/>
                                </a:ln>
                              </pic:spPr>
                            </pic:pic>
                          </a:graphicData>
                        </a:graphic>
                      </wp:inline>
                    </w:drawing>
                  </w:r>
                </w:p>
              </w:tc>
              <w:tc>
                <w:tcPr>
                  <w:tcW w:w="1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drawing>
                      <wp:inline distT="0" distB="0" distL="114300" distR="114300">
                        <wp:extent cx="1002030" cy="1002030"/>
                        <wp:effectExtent l="0" t="0" r="7620" b="762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33"/>
                                <a:stretch>
                                  <a:fillRect/>
                                </a:stretch>
                              </pic:blipFill>
                              <pic:spPr>
                                <a:xfrm>
                                  <a:off x="0" y="0"/>
                                  <a:ext cx="1002030" cy="1002030"/>
                                </a:xfrm>
                                <a:prstGeom prst="rect">
                                  <a:avLst/>
                                </a:prstGeom>
                                <a:noFill/>
                                <a:ln>
                                  <a:noFill/>
                                </a:ln>
                              </pic:spPr>
                            </pic:pic>
                          </a:graphicData>
                        </a:graphic>
                      </wp:inline>
                    </w:drawing>
                  </w:r>
                </w:p>
              </w:tc>
              <w:tc>
                <w:tcPr>
                  <w:tcW w:w="1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drawing>
                      <wp:inline distT="0" distB="0" distL="114300" distR="114300">
                        <wp:extent cx="1002030" cy="850900"/>
                        <wp:effectExtent l="0" t="0" r="7620" b="635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4"/>
                                <a:stretch>
                                  <a:fillRect/>
                                </a:stretch>
                              </pic:blipFill>
                              <pic:spPr>
                                <a:xfrm>
                                  <a:off x="0" y="0"/>
                                  <a:ext cx="1002030" cy="850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6" w:hRule="atLeast"/>
                <w:tblCellSpacing w:w="0" w:type="dxa"/>
                <w:jc w:val="center"/>
              </w:trPr>
              <w:tc>
                <w:tcPr>
                  <w:tcW w:w="180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噪声排放源</w:t>
                  </w:r>
                </w:p>
              </w:tc>
              <w:tc>
                <w:tcPr>
                  <w:tcW w:w="180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噪声排放源</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一般固体废物</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一般固体废物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414" w:hRule="atLeast"/>
                <w:tblCellSpacing w:w="0" w:type="dxa"/>
                <w:jc w:val="center"/>
              </w:trPr>
              <w:tc>
                <w:tcPr>
                  <w:tcW w:w="180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drawing>
                      <wp:inline distT="0" distB="0" distL="114300" distR="114300">
                        <wp:extent cx="851535" cy="1153160"/>
                        <wp:effectExtent l="0" t="0" r="5715" b="889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35"/>
                                <a:stretch>
                                  <a:fillRect/>
                                </a:stretch>
                              </pic:blipFill>
                              <pic:spPr>
                                <a:xfrm>
                                  <a:off x="0" y="0"/>
                                  <a:ext cx="851535" cy="1153160"/>
                                </a:xfrm>
                                <a:prstGeom prst="rect">
                                  <a:avLst/>
                                </a:prstGeom>
                                <a:noFill/>
                                <a:ln>
                                  <a:noFill/>
                                </a:ln>
                              </pic:spPr>
                            </pic:pic>
                          </a:graphicData>
                        </a:graphic>
                      </wp:inline>
                    </w:drawing>
                  </w:r>
                </w:p>
              </w:tc>
              <w:tc>
                <w:tcPr>
                  <w:tcW w:w="180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drawing>
                      <wp:inline distT="0" distB="0" distL="114300" distR="114300">
                        <wp:extent cx="1002030" cy="1002030"/>
                        <wp:effectExtent l="0" t="0" r="7620" b="762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6"/>
                                <a:stretch>
                                  <a:fillRect/>
                                </a:stretch>
                              </pic:blipFill>
                              <pic:spPr>
                                <a:xfrm>
                                  <a:off x="0" y="0"/>
                                  <a:ext cx="1002030" cy="1002030"/>
                                </a:xfrm>
                                <a:prstGeom prst="rect">
                                  <a:avLst/>
                                </a:prstGeom>
                                <a:noFill/>
                                <a:ln>
                                  <a:noFill/>
                                </a:ln>
                              </pic:spPr>
                            </pic:pic>
                          </a:graphicData>
                        </a:graphic>
                      </wp:inline>
                    </w:drawing>
                  </w:r>
                </w:p>
              </w:tc>
              <w:tc>
                <w:tcPr>
                  <w:tcW w:w="1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drawing>
                      <wp:inline distT="0" distB="0" distL="114300" distR="114300">
                        <wp:extent cx="1002030" cy="850900"/>
                        <wp:effectExtent l="0" t="0" r="7620" b="635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37"/>
                                <a:stretch>
                                  <a:fillRect/>
                                </a:stretch>
                              </pic:blipFill>
                              <pic:spPr>
                                <a:xfrm>
                                  <a:off x="0" y="0"/>
                                  <a:ext cx="1002030" cy="850900"/>
                                </a:xfrm>
                                <a:prstGeom prst="rect">
                                  <a:avLst/>
                                </a:prstGeom>
                                <a:noFill/>
                                <a:ln>
                                  <a:noFill/>
                                </a:ln>
                              </pic:spPr>
                            </pic:pic>
                          </a:graphicData>
                        </a:graphic>
                      </wp:inline>
                    </w:drawing>
                  </w:r>
                </w:p>
              </w:tc>
              <w:tc>
                <w:tcPr>
                  <w:tcW w:w="1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5" w:hRule="atLeast"/>
                <w:tblCellSpacing w:w="0" w:type="dxa"/>
                <w:jc w:val="center"/>
              </w:trPr>
              <w:tc>
                <w:tcPr>
                  <w:tcW w:w="180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必须保持清洁</w:t>
                  </w:r>
                </w:p>
              </w:tc>
              <w:tc>
                <w:tcPr>
                  <w:tcW w:w="180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废气排放口</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废气排放口</w:t>
                  </w:r>
                </w:p>
              </w:tc>
              <w:tc>
                <w:tcPr>
                  <w:tcW w:w="1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auto"/>
                      <w:szCs w:val="21"/>
                      <w:highlight w:val="none"/>
                    </w:rPr>
                  </w:pPr>
                </w:p>
              </w:tc>
            </w:tr>
          </w:tbl>
          <w:p>
            <w:pPr>
              <w:pStyle w:val="27"/>
              <w:spacing w:line="360" w:lineRule="auto"/>
              <w:ind w:left="0"/>
              <w:jc w:val="center"/>
              <w:rPr>
                <w:rFonts w:ascii="Times New Roman" w:hAnsi="Times New Roman"/>
                <w:b/>
                <w:bCs/>
                <w:color w:val="auto"/>
                <w:kern w:val="0"/>
                <w:sz w:val="24"/>
                <w:szCs w:val="24"/>
                <w:highlight w:val="none"/>
              </w:rPr>
            </w:pPr>
            <w:r>
              <w:rPr>
                <w:rFonts w:ascii="Times New Roman" w:hAnsi="Times New Roman"/>
                <w:b/>
                <w:bCs/>
                <w:color w:val="auto"/>
                <w:kern w:val="0"/>
                <w:sz w:val="24"/>
                <w:szCs w:val="24"/>
                <w:highlight w:val="none"/>
              </w:rPr>
              <w:t>图</w:t>
            </w:r>
            <w:r>
              <w:rPr>
                <w:rFonts w:hint="default" w:ascii="Times New Roman" w:hAnsi="Times New Roman" w:cs="Times New Roman"/>
                <w:b/>
                <w:bCs/>
                <w:color w:val="auto"/>
                <w:kern w:val="0"/>
                <w:sz w:val="24"/>
                <w:szCs w:val="24"/>
                <w:highlight w:val="none"/>
              </w:rPr>
              <w:t>5</w:t>
            </w:r>
            <w:r>
              <w:rPr>
                <w:rFonts w:ascii="Times New Roman" w:hAnsi="Times New Roman"/>
                <w:b/>
                <w:bCs/>
                <w:color w:val="auto"/>
                <w:kern w:val="0"/>
                <w:sz w:val="24"/>
                <w:szCs w:val="24"/>
                <w:highlight w:val="none"/>
              </w:rPr>
              <w:t>-</w:t>
            </w:r>
            <w:r>
              <w:rPr>
                <w:rFonts w:hint="default" w:ascii="Times New Roman" w:hAnsi="Times New Roman" w:cs="Times New Roman"/>
                <w:b/>
                <w:bCs/>
                <w:color w:val="auto"/>
                <w:kern w:val="0"/>
                <w:sz w:val="24"/>
                <w:szCs w:val="24"/>
                <w:highlight w:val="none"/>
              </w:rPr>
              <w:t>1</w:t>
            </w:r>
            <w:r>
              <w:rPr>
                <w:rFonts w:ascii="Times New Roman" w:hAnsi="Times New Roman"/>
                <w:b/>
                <w:bCs/>
                <w:color w:val="auto"/>
                <w:kern w:val="0"/>
                <w:sz w:val="24"/>
                <w:szCs w:val="24"/>
                <w:highlight w:val="none"/>
              </w:rPr>
              <w:t xml:space="preserve">  环境保护图形标志排放口（源）</w:t>
            </w:r>
          </w:p>
          <w:p>
            <w:pPr>
              <w:pStyle w:val="144"/>
              <w:adjustRightInd/>
              <w:snapToGrid/>
              <w:spacing w:line="360" w:lineRule="auto"/>
              <w:ind w:firstLine="480"/>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FF0000"/>
                <w:kern w:val="2"/>
                <w:sz w:val="24"/>
                <w:szCs w:val="24"/>
                <w:highlight w:val="none"/>
                <w:lang w:val="en-US" w:eastAsia="zh-CN" w:bidi="ar-SA"/>
              </w:rPr>
              <w:t>竣工验收要求</w:t>
            </w:r>
          </w:p>
          <w:p>
            <w:pPr>
              <w:pStyle w:val="144"/>
              <w:adjustRightInd/>
              <w:snapToGrid/>
              <w:spacing w:line="360" w:lineRule="auto"/>
              <w:ind w:firstLine="480"/>
              <w:rPr>
                <w:rFonts w:cs="宋体"/>
                <w:color w:val="FF0000"/>
                <w:kern w:val="2"/>
                <w:sz w:val="24"/>
                <w:szCs w:val="24"/>
                <w:lang w:val="en-US" w:eastAsia="zh-CN"/>
              </w:rPr>
            </w:pPr>
            <w:r>
              <w:rPr>
                <w:rFonts w:cs="宋体"/>
                <w:color w:val="FF0000"/>
                <w:kern w:val="2"/>
                <w:sz w:val="24"/>
                <w:szCs w:val="24"/>
                <w:lang w:val="en-US" w:eastAsia="zh-CN"/>
              </w:rPr>
              <w:t>根据《建设项目竣工环境保护验收暂行办法》（国环规环评[</w:t>
            </w:r>
            <w:r>
              <w:rPr>
                <w:rFonts w:hint="default" w:ascii="Times New Roman" w:hAnsi="Times New Roman" w:cs="Times New Roman"/>
                <w:color w:val="FF0000"/>
                <w:kern w:val="2"/>
                <w:sz w:val="24"/>
                <w:szCs w:val="24"/>
                <w:lang w:val="en-US" w:eastAsia="zh-CN"/>
              </w:rPr>
              <w:t>2017</w:t>
            </w:r>
            <w:r>
              <w:rPr>
                <w:rFonts w:cs="宋体"/>
                <w:color w:val="FF0000"/>
                <w:kern w:val="2"/>
                <w:sz w:val="24"/>
                <w:szCs w:val="24"/>
                <w:lang w:val="en-US" w:eastAsia="zh-CN"/>
              </w:rPr>
              <w:t>]</w:t>
            </w:r>
            <w:r>
              <w:rPr>
                <w:rFonts w:hint="default" w:ascii="Times New Roman" w:hAnsi="Times New Roman" w:cs="Times New Roman"/>
                <w:color w:val="FF0000"/>
                <w:kern w:val="2"/>
                <w:sz w:val="24"/>
                <w:szCs w:val="24"/>
                <w:lang w:val="en-US" w:eastAsia="zh-CN"/>
              </w:rPr>
              <w:t>4</w:t>
            </w:r>
            <w:r>
              <w:rPr>
                <w:rFonts w:cs="宋体"/>
                <w:color w:val="FF0000"/>
                <w:kern w:val="2"/>
                <w:sz w:val="24"/>
                <w:szCs w:val="24"/>
                <w:lang w:val="en-US" w:eastAsia="zh-CN"/>
              </w:rPr>
              <w:t xml:space="preserve"> 号），建设单位自行验收。本项目自行验收要求如下：</w:t>
            </w:r>
          </w:p>
          <w:p>
            <w:pPr>
              <w:pStyle w:val="144"/>
              <w:adjustRightInd/>
              <w:snapToGrid/>
              <w:spacing w:line="360" w:lineRule="auto"/>
              <w:ind w:firstLine="480"/>
              <w:rPr>
                <w:rFonts w:cs="宋体"/>
                <w:color w:val="FF0000"/>
                <w:kern w:val="2"/>
                <w:sz w:val="24"/>
                <w:szCs w:val="24"/>
                <w:lang w:val="en-US" w:eastAsia="zh-CN"/>
              </w:rPr>
            </w:pPr>
            <w:r>
              <w:rPr>
                <w:rFonts w:cs="宋体"/>
                <w:color w:val="FF0000"/>
                <w:kern w:val="2"/>
                <w:sz w:val="24"/>
                <w:szCs w:val="24"/>
                <w:lang w:val="en-US" w:eastAsia="zh-CN"/>
              </w:rPr>
              <w:t>①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针对本项目，应参照《建设项目竣工环境保护验收技术指南污染影响类》编制验收监测报告。</w:t>
            </w:r>
          </w:p>
          <w:p>
            <w:pPr>
              <w:pStyle w:val="144"/>
              <w:adjustRightInd/>
              <w:snapToGrid/>
              <w:spacing w:line="360" w:lineRule="auto"/>
              <w:ind w:firstLine="480"/>
              <w:rPr>
                <w:rFonts w:cs="宋体"/>
                <w:color w:val="FF0000"/>
                <w:kern w:val="2"/>
                <w:sz w:val="24"/>
                <w:szCs w:val="24"/>
                <w:lang w:val="en-US" w:eastAsia="zh-CN"/>
              </w:rPr>
            </w:pPr>
            <w:r>
              <w:rPr>
                <w:rFonts w:cs="宋体"/>
                <w:color w:val="FF0000"/>
                <w:kern w:val="2"/>
                <w:sz w:val="24"/>
                <w:szCs w:val="24"/>
                <w:lang w:val="en-US" w:eastAsia="zh-CN"/>
              </w:rPr>
              <w:t>②验收监测报告编制完成后，建设单位应当根据验收监测报告结论，逐一检查是否存在暂行办法第八条所列验收不合格的情形，提出验收意见。存在问题的，建设单位应当进行整改，整改完成后方可提出验收意见。</w:t>
            </w:r>
          </w:p>
          <w:p>
            <w:pPr>
              <w:pStyle w:val="144"/>
              <w:adjustRightInd/>
              <w:snapToGrid/>
              <w:spacing w:line="360" w:lineRule="auto"/>
              <w:ind w:firstLine="480"/>
              <w:rPr>
                <w:rFonts w:cs="宋体"/>
                <w:kern w:val="2"/>
                <w:sz w:val="24"/>
                <w:szCs w:val="24"/>
                <w:lang w:val="en-US" w:eastAsia="zh-CN"/>
              </w:rPr>
            </w:pPr>
            <w:r>
              <w:rPr>
                <w:rFonts w:cs="宋体"/>
                <w:color w:val="FF0000"/>
                <w:kern w:val="2"/>
                <w:sz w:val="24"/>
                <w:szCs w:val="24"/>
                <w:lang w:val="en-US" w:eastAsia="zh-CN"/>
              </w:rPr>
              <w:t>验收意见包括工程建设基本</w:t>
            </w:r>
            <w:r>
              <w:rPr>
                <w:rFonts w:cs="宋体"/>
                <w:kern w:val="2"/>
                <w:sz w:val="24"/>
                <w:szCs w:val="24"/>
                <w:lang w:val="en-US" w:eastAsia="zh-CN"/>
              </w:rPr>
              <w:t>情况、工程变动情况、环境保护设施落实情况、环境保护设施调试效果、工程建设对环境的影响、验收结论和后续要求等内容，验收结论应当明确该建设项目环境保护设施是否验收合格。</w:t>
            </w:r>
          </w:p>
          <w:p>
            <w:pPr>
              <w:pStyle w:val="144"/>
              <w:adjustRightInd/>
              <w:snapToGrid/>
              <w:spacing w:line="360" w:lineRule="auto"/>
              <w:ind w:firstLine="480"/>
              <w:rPr>
                <w:rFonts w:cs="宋体"/>
                <w:kern w:val="2"/>
                <w:sz w:val="24"/>
                <w:szCs w:val="24"/>
                <w:lang w:val="en-US" w:eastAsia="zh-CN"/>
              </w:rPr>
            </w:pPr>
            <w:r>
              <w:rPr>
                <w:rFonts w:cs="宋体"/>
                <w:kern w:val="2"/>
                <w:sz w:val="24"/>
                <w:szCs w:val="24"/>
                <w:lang w:val="en-US" w:eastAsia="zh-CN"/>
              </w:rPr>
              <w:t>建设项目配套建设的环境保护设施经验收合格后，其主体工程方可投入生产或者使用；未经验收或者验收不合格的，不得投入生产或者使用。</w:t>
            </w:r>
          </w:p>
          <w:p>
            <w:pPr>
              <w:pStyle w:val="144"/>
              <w:adjustRightInd/>
              <w:snapToGrid/>
              <w:spacing w:line="360" w:lineRule="auto"/>
              <w:ind w:firstLine="480"/>
              <w:rPr>
                <w:rFonts w:cs="宋体"/>
                <w:kern w:val="2"/>
                <w:sz w:val="24"/>
                <w:szCs w:val="24"/>
                <w:lang w:val="en-US" w:eastAsia="zh-CN"/>
              </w:rPr>
            </w:pPr>
            <w:r>
              <w:rPr>
                <w:rFonts w:cs="宋体"/>
                <w:kern w:val="2"/>
                <w:sz w:val="24"/>
                <w:szCs w:val="24"/>
                <w:lang w:val="en-US" w:eastAsia="zh-CN"/>
              </w:rPr>
              <w:t>③存在下列情形之一的建设项目，不得通过竣工环境保护验收：</w:t>
            </w:r>
          </w:p>
          <w:p>
            <w:pPr>
              <w:pStyle w:val="144"/>
              <w:adjustRightInd/>
              <w:snapToGrid/>
              <w:spacing w:line="360" w:lineRule="auto"/>
              <w:ind w:firstLine="480"/>
              <w:rPr>
                <w:rFonts w:cs="宋体"/>
                <w:kern w:val="2"/>
                <w:sz w:val="24"/>
                <w:szCs w:val="24"/>
                <w:lang w:val="en-US" w:eastAsia="zh-CN"/>
              </w:rPr>
            </w:pPr>
            <w:r>
              <w:rPr>
                <w:rFonts w:cs="宋体"/>
                <w:kern w:val="2"/>
                <w:sz w:val="24"/>
                <w:szCs w:val="24"/>
                <w:lang w:val="en-US" w:eastAsia="zh-CN"/>
              </w:rPr>
              <w:t>Ⅰ 未按环境影响</w:t>
            </w:r>
            <w:r>
              <w:rPr>
                <w:rFonts w:hint="eastAsia" w:cs="宋体"/>
                <w:kern w:val="2"/>
                <w:sz w:val="24"/>
                <w:szCs w:val="24"/>
                <w:lang w:val="en-US" w:eastAsia="zh-CN"/>
              </w:rPr>
              <w:t>报告表</w:t>
            </w:r>
            <w:r>
              <w:rPr>
                <w:rFonts w:cs="宋体"/>
                <w:kern w:val="2"/>
                <w:sz w:val="24"/>
                <w:szCs w:val="24"/>
                <w:lang w:val="en-US" w:eastAsia="zh-CN"/>
              </w:rPr>
              <w:t>及其审批部门审批决定要求建成环境保护设施，或者环境保护设施不能与主体工程同时投产或者使用的；</w:t>
            </w:r>
          </w:p>
          <w:p>
            <w:pPr>
              <w:pStyle w:val="144"/>
              <w:adjustRightInd/>
              <w:snapToGrid/>
              <w:spacing w:line="360" w:lineRule="auto"/>
              <w:ind w:firstLine="480"/>
              <w:rPr>
                <w:rFonts w:cs="宋体"/>
                <w:kern w:val="2"/>
                <w:sz w:val="24"/>
                <w:szCs w:val="24"/>
                <w:lang w:val="en-US" w:eastAsia="zh-CN"/>
              </w:rPr>
            </w:pPr>
            <w:r>
              <w:rPr>
                <w:rFonts w:cs="宋体"/>
                <w:kern w:val="2"/>
                <w:sz w:val="24"/>
                <w:szCs w:val="24"/>
                <w:lang w:val="en-US" w:eastAsia="zh-CN"/>
              </w:rPr>
              <w:t>Ⅱ 污染物排放不符合国家和地方相关标准、环境影响</w:t>
            </w:r>
            <w:r>
              <w:rPr>
                <w:rFonts w:hint="eastAsia" w:cs="宋体"/>
                <w:kern w:val="2"/>
                <w:sz w:val="24"/>
                <w:szCs w:val="24"/>
                <w:lang w:val="en-US" w:eastAsia="zh-CN"/>
              </w:rPr>
              <w:t>报告表</w:t>
            </w:r>
            <w:r>
              <w:rPr>
                <w:rFonts w:cs="宋体"/>
                <w:kern w:val="2"/>
                <w:sz w:val="24"/>
                <w:szCs w:val="24"/>
                <w:lang w:val="en-US" w:eastAsia="zh-CN"/>
              </w:rPr>
              <w:t>及其审批部门审批决定或者重点污染物排放总量控制指标要求的；</w:t>
            </w:r>
          </w:p>
          <w:p>
            <w:pPr>
              <w:pStyle w:val="144"/>
              <w:adjustRightInd/>
              <w:snapToGrid/>
              <w:spacing w:line="360" w:lineRule="auto"/>
              <w:ind w:firstLine="480"/>
              <w:rPr>
                <w:rFonts w:cs="宋体"/>
                <w:kern w:val="2"/>
                <w:sz w:val="24"/>
                <w:szCs w:val="24"/>
                <w:lang w:val="en-US" w:eastAsia="zh-CN"/>
              </w:rPr>
            </w:pPr>
            <w:r>
              <w:rPr>
                <w:rFonts w:cs="宋体"/>
                <w:kern w:val="2"/>
                <w:sz w:val="24"/>
                <w:szCs w:val="24"/>
                <w:lang w:val="en-US" w:eastAsia="zh-CN"/>
              </w:rPr>
              <w:t>Ⅲ 环境影响</w:t>
            </w:r>
            <w:r>
              <w:rPr>
                <w:rFonts w:hint="eastAsia" w:cs="宋体"/>
                <w:kern w:val="2"/>
                <w:sz w:val="24"/>
                <w:szCs w:val="24"/>
                <w:lang w:val="en-US" w:eastAsia="zh-CN"/>
              </w:rPr>
              <w:t>报告表</w:t>
            </w:r>
            <w:r>
              <w:rPr>
                <w:rFonts w:cs="宋体"/>
                <w:kern w:val="2"/>
                <w:sz w:val="24"/>
                <w:szCs w:val="24"/>
                <w:lang w:val="en-US" w:eastAsia="zh-CN"/>
              </w:rPr>
              <w:t>经批准后，该建设项目的性质、规模、地点、采用的生产工艺或者防治污染、防止生态破坏的措施发生重大变动，建设单位未重新报批环境影响</w:t>
            </w:r>
            <w:r>
              <w:rPr>
                <w:rFonts w:hint="eastAsia" w:cs="宋体"/>
                <w:kern w:val="2"/>
                <w:sz w:val="24"/>
                <w:szCs w:val="24"/>
                <w:lang w:val="en-US" w:eastAsia="zh-CN"/>
              </w:rPr>
              <w:t>报告表</w:t>
            </w:r>
            <w:r>
              <w:rPr>
                <w:rFonts w:cs="宋体"/>
                <w:kern w:val="2"/>
                <w:sz w:val="24"/>
                <w:szCs w:val="24"/>
                <w:lang w:val="en-US" w:eastAsia="zh-CN"/>
              </w:rPr>
              <w:t>或者环境影响</w:t>
            </w:r>
            <w:r>
              <w:rPr>
                <w:rFonts w:hint="eastAsia" w:cs="宋体"/>
                <w:kern w:val="2"/>
                <w:sz w:val="24"/>
                <w:szCs w:val="24"/>
                <w:lang w:val="en-US" w:eastAsia="zh-CN"/>
              </w:rPr>
              <w:t>报告表</w:t>
            </w:r>
            <w:r>
              <w:rPr>
                <w:rFonts w:cs="宋体"/>
                <w:kern w:val="2"/>
                <w:sz w:val="24"/>
                <w:szCs w:val="24"/>
                <w:lang w:val="en-US" w:eastAsia="zh-CN"/>
              </w:rPr>
              <w:t>未经批准的；</w:t>
            </w:r>
          </w:p>
          <w:p>
            <w:pPr>
              <w:pStyle w:val="144"/>
              <w:adjustRightInd/>
              <w:snapToGrid/>
              <w:spacing w:line="360" w:lineRule="auto"/>
              <w:ind w:firstLine="480"/>
              <w:rPr>
                <w:rFonts w:cs="宋体"/>
                <w:kern w:val="2"/>
                <w:sz w:val="24"/>
                <w:szCs w:val="24"/>
                <w:lang w:val="en-US" w:eastAsia="zh-CN"/>
              </w:rPr>
            </w:pPr>
            <w:r>
              <w:rPr>
                <w:rFonts w:cs="宋体"/>
                <w:kern w:val="2"/>
                <w:sz w:val="24"/>
                <w:szCs w:val="24"/>
                <w:lang w:val="en-US" w:eastAsia="zh-CN"/>
              </w:rPr>
              <w:t>Ⅳ 建设过程中造成重大环境污染未治理完成，或者造成重大生态破坏未恢复的；</w:t>
            </w:r>
          </w:p>
          <w:p>
            <w:pPr>
              <w:pStyle w:val="144"/>
              <w:adjustRightInd/>
              <w:snapToGrid/>
              <w:spacing w:line="360" w:lineRule="auto"/>
              <w:ind w:firstLine="480"/>
              <w:rPr>
                <w:rFonts w:cs="宋体"/>
                <w:kern w:val="2"/>
                <w:sz w:val="24"/>
                <w:szCs w:val="24"/>
                <w:lang w:val="en-US" w:eastAsia="zh-CN"/>
              </w:rPr>
            </w:pPr>
            <w:r>
              <w:rPr>
                <w:rFonts w:cs="宋体"/>
                <w:kern w:val="2"/>
                <w:sz w:val="24"/>
                <w:szCs w:val="24"/>
                <w:lang w:val="en-US" w:eastAsia="zh-CN"/>
              </w:rPr>
              <w:t>Ⅴ 纳入排污许可管理的建设项目，无证排污或者不按证排污的；</w:t>
            </w:r>
          </w:p>
          <w:p>
            <w:pPr>
              <w:pStyle w:val="144"/>
              <w:adjustRightInd/>
              <w:snapToGrid/>
              <w:spacing w:line="360" w:lineRule="auto"/>
              <w:ind w:firstLine="480"/>
              <w:rPr>
                <w:rFonts w:cs="宋体"/>
                <w:kern w:val="2"/>
                <w:sz w:val="24"/>
                <w:szCs w:val="24"/>
                <w:lang w:val="en-US" w:eastAsia="zh-CN"/>
              </w:rPr>
            </w:pPr>
            <w:r>
              <w:rPr>
                <w:rFonts w:cs="宋体"/>
                <w:kern w:val="2"/>
                <w:sz w:val="24"/>
                <w:szCs w:val="24"/>
                <w:lang w:val="en-US" w:eastAsia="zh-CN"/>
              </w:rPr>
              <w:t>Ⅵ 建设单位因该建设项目违反国家和地方环境保护法律法规受到处罚，被责令改正，尚未改正完成的；</w:t>
            </w:r>
          </w:p>
          <w:p>
            <w:pPr>
              <w:pStyle w:val="144"/>
              <w:adjustRightInd/>
              <w:snapToGrid/>
              <w:spacing w:line="360" w:lineRule="auto"/>
              <w:ind w:firstLine="480"/>
              <w:rPr>
                <w:rFonts w:cs="宋体"/>
                <w:kern w:val="2"/>
                <w:sz w:val="24"/>
                <w:szCs w:val="24"/>
                <w:lang w:val="en-US" w:eastAsia="zh-CN"/>
              </w:rPr>
            </w:pPr>
            <w:r>
              <w:rPr>
                <w:rFonts w:cs="宋体"/>
                <w:kern w:val="2"/>
                <w:sz w:val="24"/>
                <w:szCs w:val="24"/>
                <w:lang w:val="en-US" w:eastAsia="zh-CN"/>
              </w:rPr>
              <w:t>Ⅶ 验收报告的基础资料数据明显不实，内容存在重大缺项、遗漏，或者验收结论不明确、不合理的。</w:t>
            </w:r>
          </w:p>
          <w:p>
            <w:pPr>
              <w:pStyle w:val="144"/>
              <w:adjustRightInd/>
              <w:snapToGrid/>
              <w:spacing w:line="360" w:lineRule="auto"/>
              <w:ind w:firstLine="480"/>
              <w:rPr>
                <w:rFonts w:cs="宋体"/>
                <w:kern w:val="2"/>
                <w:sz w:val="24"/>
                <w:szCs w:val="24"/>
                <w:lang w:val="en-US" w:eastAsia="zh-CN"/>
              </w:rPr>
            </w:pPr>
            <w:r>
              <w:rPr>
                <w:rFonts w:cs="宋体"/>
                <w:kern w:val="2"/>
                <w:sz w:val="24"/>
                <w:szCs w:val="24"/>
                <w:lang w:val="en-US" w:eastAsia="zh-CN"/>
              </w:rPr>
              <w:t>④为提高验收的有效性，在提出验收意见的过程中，建设单位可以组织成立验收工作组，采取现场检查、资料查阅、召开验收会议等方式，协助开展验收工作。验收工作组可以由设计单位、施工单位、环境影</w:t>
            </w:r>
            <w:r>
              <w:rPr>
                <w:rFonts w:hint="eastAsia" w:cs="宋体"/>
                <w:kern w:val="2"/>
                <w:sz w:val="24"/>
                <w:szCs w:val="24"/>
                <w:lang w:val="en-US" w:eastAsia="zh-CN"/>
              </w:rPr>
              <w:t>报告表</w:t>
            </w:r>
            <w:r>
              <w:rPr>
                <w:rFonts w:cs="宋体"/>
                <w:kern w:val="2"/>
                <w:sz w:val="24"/>
                <w:szCs w:val="24"/>
                <w:lang w:val="en-US" w:eastAsia="zh-CN"/>
              </w:rPr>
              <w:t>编制机构、验收监测（调查）报告编制机构等单位代表以及专业技术专家等组成，代表范围和人数自定。除按照国家需要保密的情形外，建设单位应当通过其网站或其他便于公众知晓的方式，向社会公开下列信息：</w:t>
            </w:r>
          </w:p>
          <w:p>
            <w:pPr>
              <w:pStyle w:val="144"/>
              <w:adjustRightInd/>
              <w:snapToGrid/>
              <w:spacing w:line="360" w:lineRule="auto"/>
              <w:ind w:firstLine="480"/>
              <w:rPr>
                <w:rFonts w:cs="宋体"/>
                <w:kern w:val="2"/>
                <w:sz w:val="24"/>
                <w:szCs w:val="24"/>
                <w:lang w:val="en-US" w:eastAsia="zh-CN"/>
              </w:rPr>
            </w:pPr>
            <w:r>
              <w:rPr>
                <w:rFonts w:cs="宋体"/>
                <w:kern w:val="2"/>
                <w:sz w:val="24"/>
                <w:szCs w:val="24"/>
                <w:lang w:val="en-US" w:eastAsia="zh-CN"/>
              </w:rPr>
              <w:t>Ⅰ 建设项目配套建设的环境保护设施竣工后，公开竣工日期；</w:t>
            </w:r>
          </w:p>
          <w:p>
            <w:pPr>
              <w:pStyle w:val="144"/>
              <w:adjustRightInd/>
              <w:snapToGrid/>
              <w:spacing w:line="360" w:lineRule="auto"/>
              <w:ind w:firstLine="480"/>
              <w:rPr>
                <w:rFonts w:cs="宋体"/>
                <w:kern w:val="2"/>
                <w:sz w:val="24"/>
                <w:szCs w:val="24"/>
                <w:lang w:val="en-US" w:eastAsia="zh-CN"/>
              </w:rPr>
            </w:pPr>
            <w:r>
              <w:rPr>
                <w:rFonts w:cs="宋体"/>
                <w:kern w:val="2"/>
                <w:sz w:val="24"/>
                <w:szCs w:val="24"/>
                <w:lang w:val="en-US" w:eastAsia="zh-CN"/>
              </w:rPr>
              <w:t>Ⅱ 对建设项目配套建设的环境保护设施进行调试前，公开调试的起止日期；</w:t>
            </w:r>
          </w:p>
          <w:p>
            <w:pPr>
              <w:pStyle w:val="144"/>
              <w:adjustRightInd/>
              <w:snapToGrid/>
              <w:spacing w:line="360" w:lineRule="auto"/>
              <w:ind w:firstLine="480"/>
              <w:rPr>
                <w:rFonts w:cs="宋体"/>
                <w:kern w:val="2"/>
                <w:sz w:val="24"/>
                <w:szCs w:val="24"/>
                <w:lang w:val="en-US" w:eastAsia="zh-CN"/>
              </w:rPr>
            </w:pPr>
            <w:r>
              <w:rPr>
                <w:rFonts w:cs="宋体"/>
                <w:kern w:val="2"/>
                <w:sz w:val="24"/>
                <w:szCs w:val="24"/>
                <w:lang w:val="en-US" w:eastAsia="zh-CN"/>
              </w:rPr>
              <w:t xml:space="preserve">Ⅲ 验收报告编制完成后 </w:t>
            </w:r>
            <w:r>
              <w:rPr>
                <w:rFonts w:hint="default" w:ascii="Times New Roman" w:hAnsi="Times New Roman" w:cs="Times New Roman"/>
                <w:kern w:val="2"/>
                <w:sz w:val="24"/>
                <w:szCs w:val="24"/>
                <w:lang w:val="en-US" w:eastAsia="zh-CN"/>
              </w:rPr>
              <w:t>5</w:t>
            </w:r>
            <w:r>
              <w:rPr>
                <w:rFonts w:cs="宋体"/>
                <w:kern w:val="2"/>
                <w:sz w:val="24"/>
                <w:szCs w:val="24"/>
                <w:lang w:val="en-US" w:eastAsia="zh-CN"/>
              </w:rPr>
              <w:t xml:space="preserve"> 个工作日内，公开验收报告，公示的期限不得少于 </w:t>
            </w:r>
            <w:r>
              <w:rPr>
                <w:rFonts w:hint="default" w:ascii="Times New Roman" w:hAnsi="Times New Roman" w:cs="Times New Roman"/>
                <w:kern w:val="2"/>
                <w:sz w:val="24"/>
                <w:szCs w:val="24"/>
                <w:lang w:val="en-US" w:eastAsia="zh-CN"/>
              </w:rPr>
              <w:t>20</w:t>
            </w:r>
            <w:r>
              <w:rPr>
                <w:rFonts w:cs="宋体"/>
                <w:kern w:val="2"/>
                <w:sz w:val="24"/>
                <w:szCs w:val="24"/>
                <w:lang w:val="en-US" w:eastAsia="zh-CN"/>
              </w:rPr>
              <w:t xml:space="preserve"> 个工作日。</w:t>
            </w:r>
          </w:p>
          <w:p>
            <w:pPr>
              <w:pStyle w:val="144"/>
              <w:adjustRightInd/>
              <w:snapToGrid/>
              <w:spacing w:line="360" w:lineRule="auto"/>
              <w:ind w:firstLine="480"/>
              <w:rPr>
                <w:rFonts w:hint="eastAsia" w:ascii="Times New Roman" w:hAnsi="Times New Roman" w:eastAsia="宋体" w:cs="Times New Roman"/>
                <w:b/>
                <w:bCs/>
                <w:color w:val="auto"/>
                <w:sz w:val="24"/>
                <w:highlight w:val="none"/>
                <w:lang w:val="en-US" w:eastAsia="zh-CN"/>
              </w:rPr>
            </w:pPr>
            <w:r>
              <w:rPr>
                <w:rFonts w:cs="宋体"/>
                <w:kern w:val="2"/>
                <w:sz w:val="24"/>
                <w:szCs w:val="24"/>
                <w:lang w:val="en-US" w:eastAsia="zh-CN"/>
              </w:rPr>
              <w:t xml:space="preserve">⑤验收期限是指自建设项目环境保护设施竣工之日起至建设单位向社会公开验收报告之日止的时间。验收报告公示期满后 </w:t>
            </w:r>
            <w:r>
              <w:rPr>
                <w:rFonts w:hint="default" w:ascii="Times New Roman" w:hAnsi="Times New Roman" w:cs="Times New Roman"/>
                <w:kern w:val="2"/>
                <w:sz w:val="24"/>
                <w:szCs w:val="24"/>
                <w:lang w:val="en-US" w:eastAsia="zh-CN"/>
              </w:rPr>
              <w:t>5</w:t>
            </w:r>
            <w:r>
              <w:rPr>
                <w:rFonts w:cs="宋体"/>
                <w:kern w:val="2"/>
                <w:sz w:val="24"/>
                <w:szCs w:val="24"/>
                <w:lang w:val="en-US" w:eastAsia="zh-CN"/>
              </w:rPr>
              <w:t xml:space="preserve"> 个工作日内，建设单位应当登录全国建设项目竣工环境保护验收信息平台，填报建设项目基本信息、环境保护设施验收情况等相关信息，环境保护主管部门对上述信息予以公开。建设单位应当将验收报告以及其他档案资料存档备查。</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color w:val="auto"/>
                <w:sz w:val="24"/>
                <w:szCs w:val="24"/>
                <w:highlight w:val="none"/>
              </w:rPr>
            </w:pPr>
            <w:r>
              <w:rPr>
                <w:rFonts w:hint="default" w:ascii="Times New Roman" w:hAnsi="Times New Roman" w:cs="Times New Roman"/>
                <w:b/>
                <w:bCs/>
                <w:color w:val="auto"/>
                <w:sz w:val="24"/>
                <w:highlight w:val="none"/>
                <w:lang w:val="en-US" w:eastAsia="zh-CN"/>
              </w:rPr>
              <w:t>4</w:t>
            </w:r>
            <w:r>
              <w:rPr>
                <w:rFonts w:hint="eastAsia"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排污许可相关要求</w:t>
            </w:r>
          </w:p>
          <w:p>
            <w:pPr>
              <w:pStyle w:val="9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color w:val="auto"/>
                <w:sz w:val="24"/>
                <w:szCs w:val="24"/>
                <w:highlight w:val="none"/>
              </w:rPr>
            </w:pPr>
            <w:r>
              <w:rPr>
                <w:color w:val="auto"/>
                <w:sz w:val="24"/>
                <w:szCs w:val="24"/>
                <w:highlight w:val="none"/>
              </w:rPr>
              <w:t>根据《排污许可管理办法》（自</w:t>
            </w:r>
            <w:r>
              <w:rPr>
                <w:rFonts w:hint="default" w:ascii="Times New Roman" w:hAnsi="Times New Roman" w:cs="Times New Roman"/>
                <w:color w:val="auto"/>
                <w:sz w:val="24"/>
                <w:szCs w:val="24"/>
                <w:highlight w:val="none"/>
              </w:rPr>
              <w:t>2024</w:t>
            </w:r>
            <w:r>
              <w:rPr>
                <w:color w:val="auto"/>
                <w:sz w:val="24"/>
                <w:szCs w:val="24"/>
                <w:highlight w:val="none"/>
              </w:rPr>
              <w:t>年</w:t>
            </w:r>
            <w:r>
              <w:rPr>
                <w:rFonts w:hint="default" w:ascii="Times New Roman" w:hAnsi="Times New Roman" w:cs="Times New Roman"/>
                <w:color w:val="auto"/>
                <w:sz w:val="24"/>
                <w:szCs w:val="24"/>
                <w:highlight w:val="none"/>
              </w:rPr>
              <w:t>7</w:t>
            </w:r>
            <w:r>
              <w:rPr>
                <w:color w:val="auto"/>
                <w:sz w:val="24"/>
                <w:szCs w:val="24"/>
                <w:highlight w:val="none"/>
              </w:rPr>
              <w:t>月</w:t>
            </w:r>
            <w:r>
              <w:rPr>
                <w:rFonts w:hint="default" w:ascii="Times New Roman" w:hAnsi="Times New Roman" w:cs="Times New Roman"/>
                <w:color w:val="auto"/>
                <w:sz w:val="24"/>
                <w:szCs w:val="24"/>
                <w:highlight w:val="none"/>
              </w:rPr>
              <w:t>1</w:t>
            </w:r>
            <w:r>
              <w:rPr>
                <w:color w:val="auto"/>
                <w:sz w:val="24"/>
                <w:szCs w:val="24"/>
                <w:highlight w:val="none"/>
              </w:rPr>
              <w:t>日起施行），第三条：环境保护部依法制定并公布固定污染源排污许可分类管理名录，明确纳入排污许可管理的范围和申领时限。纳入固定污染源排污许可分类管理名录的企业事业单位和其他生产经营者（以下简称排污单位）应当按照规定的时限申请并取得排污许可证；未纳入固定污染源排污许可分类管理名录的排污单位，暂不需申请排污许可证。第二十四条：在固定污染源排污许可分类管理名录规定的时限前已经建成并实际排污的排污单位，应当在名录规定时限申请排污许可证；在名录规定的时限后建成的排污单位，应当在启动生产设施或者在实际排污之前申请排污许可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color w:val="auto"/>
                <w:kern w:val="0"/>
                <w:sz w:val="24"/>
                <w:szCs w:val="24"/>
                <w:highlight w:val="none"/>
              </w:rPr>
              <w:t>根据《国民经济行业分类》（</w:t>
            </w:r>
            <w:r>
              <w:rPr>
                <w:rFonts w:hint="default" w:ascii="Times New Roman" w:hAnsi="Times New Roman" w:cs="Times New Roman"/>
                <w:color w:val="auto"/>
                <w:kern w:val="0"/>
                <w:sz w:val="24"/>
                <w:szCs w:val="24"/>
                <w:highlight w:val="none"/>
              </w:rPr>
              <w:t>GB</w:t>
            </w:r>
            <w:r>
              <w:rPr>
                <w:color w:val="auto"/>
                <w:kern w:val="0"/>
                <w:sz w:val="24"/>
                <w:szCs w:val="24"/>
                <w:highlight w:val="none"/>
              </w:rPr>
              <w:t>/</w:t>
            </w:r>
            <w:r>
              <w:rPr>
                <w:rFonts w:hint="default" w:ascii="Times New Roman" w:hAnsi="Times New Roman" w:cs="Times New Roman"/>
                <w:color w:val="auto"/>
                <w:kern w:val="0"/>
                <w:sz w:val="24"/>
                <w:szCs w:val="24"/>
                <w:highlight w:val="none"/>
              </w:rPr>
              <w:t>T</w:t>
            </w:r>
            <w:r>
              <w:rPr>
                <w:color w:val="auto"/>
                <w:kern w:val="0"/>
                <w:sz w:val="24"/>
                <w:szCs w:val="24"/>
                <w:highlight w:val="none"/>
              </w:rPr>
              <w:t xml:space="preserve"> </w:t>
            </w:r>
            <w:r>
              <w:rPr>
                <w:rFonts w:hint="default" w:ascii="Times New Roman" w:hAnsi="Times New Roman" w:cs="Times New Roman"/>
                <w:color w:val="auto"/>
                <w:kern w:val="0"/>
                <w:sz w:val="24"/>
                <w:szCs w:val="24"/>
                <w:highlight w:val="none"/>
              </w:rPr>
              <w:t>4754</w:t>
            </w:r>
            <w:r>
              <w:rPr>
                <w:color w:val="auto"/>
                <w:kern w:val="0"/>
                <w:sz w:val="24"/>
                <w:szCs w:val="24"/>
                <w:highlight w:val="none"/>
              </w:rPr>
              <w:t>—</w:t>
            </w:r>
            <w:r>
              <w:rPr>
                <w:rFonts w:hint="default" w:ascii="Times New Roman" w:hAnsi="Times New Roman" w:cs="Times New Roman"/>
                <w:color w:val="auto"/>
                <w:kern w:val="0"/>
                <w:sz w:val="24"/>
                <w:szCs w:val="24"/>
                <w:highlight w:val="none"/>
              </w:rPr>
              <w:t>2017</w:t>
            </w:r>
            <w:r>
              <w:rPr>
                <w:color w:val="auto"/>
                <w:kern w:val="0"/>
                <w:sz w:val="24"/>
                <w:szCs w:val="24"/>
                <w:highlight w:val="none"/>
              </w:rPr>
              <w:t>），本项目属于“</w:t>
            </w:r>
            <w:r>
              <w:rPr>
                <w:rFonts w:hint="default" w:ascii="Times New Roman" w:hAnsi="Times New Roman" w:cs="Times New Roman"/>
                <w:color w:val="auto"/>
                <w:sz w:val="24"/>
                <w:szCs w:val="24"/>
                <w:highlight w:val="none"/>
              </w:rPr>
              <w:t>C302</w:t>
            </w:r>
            <w:r>
              <w:rPr>
                <w:rFonts w:hint="default" w:ascii="Times New Roman" w:hAnsi="Times New Roman" w:cs="Times New Roman"/>
                <w:color w:val="auto"/>
                <w:sz w:val="24"/>
                <w:szCs w:val="24"/>
                <w:highlight w:val="none"/>
                <w:lang w:val="en-US" w:eastAsia="zh-CN"/>
              </w:rPr>
              <w:t>1</w:t>
            </w:r>
            <w:r>
              <w:rPr>
                <w:color w:val="auto"/>
                <w:sz w:val="24"/>
                <w:szCs w:val="24"/>
                <w:highlight w:val="none"/>
              </w:rPr>
              <w:t>水泥制品制造</w:t>
            </w:r>
            <w:r>
              <w:rPr>
                <w:color w:val="auto"/>
                <w:kern w:val="0"/>
                <w:sz w:val="24"/>
                <w:szCs w:val="24"/>
                <w:highlight w:val="none"/>
              </w:rPr>
              <w:t>”，根据《固定污染源排污许可分类管理名录》（</w:t>
            </w:r>
            <w:r>
              <w:rPr>
                <w:rFonts w:hint="default" w:ascii="Times New Roman" w:hAnsi="Times New Roman" w:cs="Times New Roman"/>
                <w:color w:val="auto"/>
                <w:kern w:val="0"/>
                <w:sz w:val="24"/>
                <w:szCs w:val="24"/>
                <w:highlight w:val="none"/>
              </w:rPr>
              <w:t>2019</w:t>
            </w:r>
            <w:r>
              <w:rPr>
                <w:color w:val="auto"/>
                <w:kern w:val="0"/>
                <w:sz w:val="24"/>
                <w:szCs w:val="24"/>
                <w:highlight w:val="none"/>
              </w:rPr>
              <w:t>年版）规定，本项目为登记管理，本企应在环境影响评价报告表审批后，申请登记管理。</w:t>
            </w:r>
          </w:p>
        </w:tc>
      </w:tr>
    </w:tbl>
    <w:p>
      <w:pPr>
        <w:pStyle w:val="28"/>
        <w:jc w:val="center"/>
        <w:outlineLvl w:val="9"/>
        <w:rPr>
          <w:rFonts w:ascii="Times New Roman" w:hAnsi="Times New Roman"/>
          <w:snapToGrid w:val="0"/>
          <w:color w:val="auto"/>
          <w:sz w:val="30"/>
          <w:szCs w:val="30"/>
          <w:highlight w:val="none"/>
        </w:rPr>
        <w:sectPr>
          <w:footerReference r:id="rId9" w:type="default"/>
          <w:pgSz w:w="11906" w:h="16838"/>
          <w:pgMar w:top="1247" w:right="1531" w:bottom="1361" w:left="1531" w:header="851" w:footer="851" w:gutter="0"/>
          <w:pgBorders>
            <w:top w:val="none" w:sz="0" w:space="0"/>
            <w:left w:val="none" w:sz="0" w:space="0"/>
            <w:bottom w:val="none" w:sz="0" w:space="0"/>
            <w:right w:val="none" w:sz="0" w:space="0"/>
          </w:pgBorders>
          <w:cols w:space="720" w:num="1"/>
          <w:docGrid w:linePitch="312" w:charSpace="0"/>
        </w:sectPr>
      </w:pPr>
    </w:p>
    <w:p>
      <w:pPr>
        <w:pStyle w:val="28"/>
        <w:jc w:val="center"/>
        <w:outlineLvl w:val="0"/>
        <w:rPr>
          <w:rFonts w:ascii="Times New Roman" w:hAnsi="Times New Roman"/>
          <w:b/>
          <w:bCs/>
          <w:snapToGrid w:val="0"/>
          <w:color w:val="auto"/>
          <w:sz w:val="30"/>
          <w:szCs w:val="30"/>
          <w:highlight w:val="none"/>
        </w:rPr>
      </w:pPr>
      <w:bookmarkStart w:id="27" w:name="_Toc31140"/>
      <w:r>
        <w:rPr>
          <w:rFonts w:ascii="Times New Roman" w:hAnsi="Times New Roman"/>
          <w:b/>
          <w:bCs/>
          <w:snapToGrid w:val="0"/>
          <w:color w:val="auto"/>
          <w:sz w:val="30"/>
          <w:szCs w:val="30"/>
          <w:highlight w:val="none"/>
        </w:rPr>
        <w:t>六、结论</w:t>
      </w:r>
      <w:bookmarkEnd w:id="27"/>
    </w:p>
    <w:tbl>
      <w:tblPr>
        <w:tblStyle w:val="32"/>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639" w:hRule="atLeast"/>
          <w:jc w:val="center"/>
        </w:trPr>
        <w:tc>
          <w:tcPr>
            <w:tcW w:w="8865" w:type="dxa"/>
          </w:tcPr>
          <w:p>
            <w:pPr>
              <w:spacing w:line="360" w:lineRule="auto"/>
              <w:ind w:firstLine="480"/>
              <w:rPr>
                <w:color w:val="auto"/>
                <w:sz w:val="24"/>
                <w:highlight w:val="none"/>
              </w:rPr>
            </w:pPr>
            <w:r>
              <w:rPr>
                <w:color w:val="auto"/>
                <w:sz w:val="24"/>
                <w:highlight w:val="none"/>
              </w:rPr>
              <w:t>通过本项目所在地环境现状调查、污染源分析、环境影响分析可知，本项目选址合理，项目符合国家产业政策及相关规划要求，同时符合国家环境保护相关政策法规要求，项目运行期产生的废水、废气、噪声、固废等采取有效措施后，均能满足国家相关排放标准的要求，企业在生产过程中在充分落实本环评提出的各项污染防治对策前提下，认真做好</w:t>
            </w:r>
            <w:r>
              <w:rPr>
                <w:rFonts w:hint="eastAsia"/>
                <w:color w:val="auto"/>
                <w:sz w:val="24"/>
                <w:highlight w:val="none"/>
              </w:rPr>
              <w:t>“</w:t>
            </w:r>
            <w:r>
              <w:rPr>
                <w:color w:val="auto"/>
                <w:sz w:val="24"/>
                <w:highlight w:val="none"/>
              </w:rPr>
              <w:t>三同时</w:t>
            </w:r>
            <w:r>
              <w:rPr>
                <w:rFonts w:hint="eastAsia"/>
                <w:color w:val="auto"/>
                <w:sz w:val="24"/>
                <w:highlight w:val="none"/>
              </w:rPr>
              <w:t>”</w:t>
            </w:r>
            <w:r>
              <w:rPr>
                <w:color w:val="auto"/>
                <w:sz w:val="24"/>
                <w:highlight w:val="none"/>
              </w:rPr>
              <w:t>及日常环保管理工作，从环保角度出发，本项目建设可行。</w:t>
            </w:r>
          </w:p>
          <w:p>
            <w:pPr>
              <w:spacing w:line="360" w:lineRule="auto"/>
              <w:ind w:firstLine="480"/>
              <w:rPr>
                <w:color w:val="auto"/>
                <w:sz w:val="24"/>
                <w:highlight w:val="none"/>
              </w:rPr>
            </w:pPr>
          </w:p>
        </w:tc>
      </w:tr>
    </w:tbl>
    <w:p>
      <w:pPr>
        <w:rPr>
          <w:color w:val="auto"/>
          <w:highlight w:val="none"/>
        </w:rPr>
        <w:sectPr>
          <w:footerReference r:id="rId10" w:type="default"/>
          <w:pgSz w:w="11906" w:h="16838"/>
          <w:pgMar w:top="1247" w:right="1531" w:bottom="1361" w:left="1531" w:header="851" w:footer="851" w:gutter="0"/>
          <w:pgBorders>
            <w:top w:val="none" w:sz="0" w:space="0"/>
            <w:left w:val="none" w:sz="0" w:space="0"/>
            <w:bottom w:val="none" w:sz="0" w:space="0"/>
            <w:right w:val="none" w:sz="0" w:space="0"/>
          </w:pgBorders>
          <w:cols w:space="720" w:num="1"/>
          <w:docGrid w:linePitch="312" w:charSpace="0"/>
        </w:sectPr>
      </w:pPr>
    </w:p>
    <w:p>
      <w:pPr>
        <w:pStyle w:val="28"/>
        <w:adjustRightInd w:val="0"/>
        <w:snapToGrid w:val="0"/>
        <w:spacing w:before="0" w:beforeAutospacing="0" w:after="0" w:afterAutospacing="0" w:line="360" w:lineRule="auto"/>
        <w:outlineLvl w:val="0"/>
        <w:rPr>
          <w:rFonts w:ascii="Times New Roman" w:hAnsi="Times New Roman"/>
          <w:b/>
          <w:bCs/>
          <w:snapToGrid w:val="0"/>
          <w:color w:val="auto"/>
          <w:sz w:val="32"/>
          <w:szCs w:val="32"/>
          <w:highlight w:val="none"/>
        </w:rPr>
      </w:pPr>
      <w:bookmarkStart w:id="28" w:name="_Toc27862"/>
      <w:r>
        <w:rPr>
          <w:rFonts w:ascii="Times New Roman" w:hAnsi="Times New Roman"/>
          <w:b/>
          <w:bCs/>
          <w:snapToGrid w:val="0"/>
          <w:color w:val="auto"/>
          <w:sz w:val="32"/>
          <w:szCs w:val="32"/>
          <w:highlight w:val="none"/>
        </w:rPr>
        <w:t>附表</w:t>
      </w:r>
      <w:bookmarkEnd w:id="28"/>
    </w:p>
    <w:p>
      <w:pPr>
        <w:pStyle w:val="28"/>
        <w:adjustRightInd w:val="0"/>
        <w:snapToGrid w:val="0"/>
        <w:spacing w:before="0" w:beforeAutospacing="0" w:after="0" w:afterAutospacing="0"/>
        <w:jc w:val="center"/>
        <w:outlineLvl w:val="0"/>
        <w:rPr>
          <w:rFonts w:ascii="Times New Roman" w:hAnsi="Times New Roman"/>
          <w:b/>
          <w:bCs/>
          <w:snapToGrid w:val="0"/>
          <w:color w:val="auto"/>
          <w:sz w:val="38"/>
          <w:szCs w:val="38"/>
          <w:highlight w:val="none"/>
        </w:rPr>
      </w:pPr>
      <w:bookmarkStart w:id="29" w:name="_Toc18555"/>
      <w:bookmarkStart w:id="30" w:name="_Toc23860"/>
      <w:bookmarkStart w:id="31" w:name="_Toc10208"/>
      <w:bookmarkStart w:id="32" w:name="_Toc31721"/>
      <w:bookmarkStart w:id="33" w:name="_Toc7560"/>
      <w:bookmarkStart w:id="34" w:name="_Toc674"/>
      <w:r>
        <w:rPr>
          <w:rFonts w:ascii="Times New Roman" w:hAnsi="Times New Roman"/>
          <w:b/>
          <w:bCs/>
          <w:snapToGrid w:val="0"/>
          <w:color w:val="auto"/>
          <w:sz w:val="38"/>
          <w:szCs w:val="38"/>
          <w:highlight w:val="none"/>
        </w:rPr>
        <w:t>建设项目污染物排放量汇总表</w:t>
      </w:r>
      <w:bookmarkEnd w:id="29"/>
      <w:bookmarkEnd w:id="30"/>
      <w:bookmarkEnd w:id="31"/>
      <w:bookmarkEnd w:id="32"/>
      <w:bookmarkEnd w:id="33"/>
      <w:bookmarkEnd w:id="34"/>
    </w:p>
    <w:tbl>
      <w:tblPr>
        <w:tblStyle w:val="3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21"/>
        <w:gridCol w:w="1701"/>
        <w:gridCol w:w="13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63"/>
              <w:spacing w:beforeLines="0" w:afterLines="0" w:line="240" w:lineRule="auto"/>
              <w:jc w:val="right"/>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项目</w:t>
            </w:r>
          </w:p>
          <w:p>
            <w:pPr>
              <w:pStyle w:val="63"/>
              <w:spacing w:beforeLines="0" w:afterLines="0" w:line="240" w:lineRule="auto"/>
              <w:jc w:val="left"/>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分类</w:t>
            </w:r>
          </w:p>
        </w:tc>
        <w:tc>
          <w:tcPr>
            <w:tcW w:w="1417" w:type="dxa"/>
            <w:tcMar>
              <w:left w:w="28" w:type="dxa"/>
              <w:right w:w="28" w:type="dxa"/>
            </w:tcMar>
            <w:vAlign w:val="center"/>
          </w:tcPr>
          <w:p>
            <w:pPr>
              <w:pStyle w:val="63"/>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污染物名称</w:t>
            </w:r>
          </w:p>
        </w:tc>
        <w:tc>
          <w:tcPr>
            <w:tcW w:w="1701" w:type="dxa"/>
            <w:tcMar>
              <w:left w:w="28" w:type="dxa"/>
              <w:right w:w="28" w:type="dxa"/>
            </w:tcMar>
            <w:vAlign w:val="center"/>
          </w:tcPr>
          <w:p>
            <w:pPr>
              <w:pStyle w:val="63"/>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现有工程</w:t>
            </w:r>
          </w:p>
          <w:p>
            <w:pPr>
              <w:pStyle w:val="63"/>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排放量（固体废物产生量）</w:t>
            </w:r>
            <w:r>
              <w:rPr>
                <w:rFonts w:ascii="Times New Roman"/>
                <w:snapToGrid w:val="0"/>
                <w:color w:val="auto"/>
                <w:spacing w:val="-6"/>
                <w:kern w:val="21"/>
                <w:sz w:val="20"/>
                <w:szCs w:val="20"/>
                <w:highlight w:val="none"/>
              </w:rPr>
              <w:fldChar w:fldCharType="begin"/>
            </w:r>
            <w:r>
              <w:rPr>
                <w:rFonts w:ascii="Times New Roman"/>
                <w:snapToGrid w:val="0"/>
                <w:color w:val="auto"/>
                <w:spacing w:val="-6"/>
                <w:kern w:val="21"/>
                <w:sz w:val="20"/>
                <w:szCs w:val="20"/>
                <w:highlight w:val="none"/>
              </w:rPr>
              <w:instrText xml:space="preserve"> = 1 \* GB3 \* MERGEFORMAT </w:instrText>
            </w:r>
            <w:r>
              <w:rPr>
                <w:rFonts w:ascii="Times New Roman"/>
                <w:snapToGrid w:val="0"/>
                <w:color w:val="auto"/>
                <w:spacing w:val="-6"/>
                <w:kern w:val="21"/>
                <w:sz w:val="20"/>
                <w:szCs w:val="20"/>
                <w:highlight w:val="none"/>
              </w:rPr>
              <w:fldChar w:fldCharType="separate"/>
            </w:r>
            <w:r>
              <w:rPr>
                <w:rFonts w:hint="eastAsia" w:hAnsi="宋体" w:cs="宋体"/>
                <w:color w:val="auto"/>
                <w:kern w:val="2"/>
                <w:sz w:val="20"/>
                <w:szCs w:val="20"/>
                <w:highlight w:val="none"/>
              </w:rPr>
              <w:t>①</w:t>
            </w:r>
            <w:r>
              <w:rPr>
                <w:rFonts w:ascii="Times New Roman"/>
                <w:snapToGrid w:val="0"/>
                <w:color w:val="auto"/>
                <w:spacing w:val="-6"/>
                <w:kern w:val="21"/>
                <w:sz w:val="20"/>
                <w:szCs w:val="20"/>
                <w:highlight w:val="none"/>
              </w:rPr>
              <w:fldChar w:fldCharType="end"/>
            </w:r>
          </w:p>
        </w:tc>
        <w:tc>
          <w:tcPr>
            <w:tcW w:w="1276" w:type="dxa"/>
            <w:tcMar>
              <w:left w:w="28" w:type="dxa"/>
              <w:right w:w="28" w:type="dxa"/>
            </w:tcMar>
            <w:vAlign w:val="center"/>
          </w:tcPr>
          <w:p>
            <w:pPr>
              <w:pStyle w:val="63"/>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现有工程</w:t>
            </w:r>
          </w:p>
          <w:p>
            <w:pPr>
              <w:pStyle w:val="63"/>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许可排放量</w:t>
            </w:r>
          </w:p>
          <w:p>
            <w:pPr>
              <w:pStyle w:val="63"/>
              <w:spacing w:beforeLines="0" w:afterLines="0"/>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fldChar w:fldCharType="begin"/>
            </w:r>
            <w:r>
              <w:rPr>
                <w:rFonts w:ascii="Times New Roman"/>
                <w:snapToGrid w:val="0"/>
                <w:color w:val="auto"/>
                <w:spacing w:val="-6"/>
                <w:kern w:val="21"/>
                <w:sz w:val="20"/>
                <w:szCs w:val="20"/>
                <w:highlight w:val="none"/>
              </w:rPr>
              <w:instrText xml:space="preserve"> = 2 \* GB3 \* MERGEFORMAT </w:instrText>
            </w:r>
            <w:r>
              <w:rPr>
                <w:rFonts w:ascii="Times New Roman"/>
                <w:snapToGrid w:val="0"/>
                <w:color w:val="auto"/>
                <w:spacing w:val="-6"/>
                <w:kern w:val="21"/>
                <w:sz w:val="20"/>
                <w:szCs w:val="20"/>
                <w:highlight w:val="none"/>
              </w:rPr>
              <w:fldChar w:fldCharType="separate"/>
            </w:r>
            <w:r>
              <w:rPr>
                <w:rFonts w:hint="eastAsia" w:hAnsi="宋体" w:cs="宋体"/>
                <w:snapToGrid w:val="0"/>
                <w:color w:val="auto"/>
                <w:spacing w:val="-6"/>
                <w:kern w:val="21"/>
                <w:sz w:val="20"/>
                <w:szCs w:val="20"/>
                <w:highlight w:val="none"/>
              </w:rPr>
              <w:t>②</w:t>
            </w:r>
            <w:r>
              <w:rPr>
                <w:rFonts w:ascii="Times New Roman"/>
                <w:snapToGrid w:val="0"/>
                <w:color w:val="auto"/>
                <w:spacing w:val="-6"/>
                <w:kern w:val="21"/>
                <w:sz w:val="20"/>
                <w:szCs w:val="20"/>
                <w:highlight w:val="none"/>
              </w:rPr>
              <w:fldChar w:fldCharType="end"/>
            </w:r>
          </w:p>
        </w:tc>
        <w:tc>
          <w:tcPr>
            <w:tcW w:w="1701" w:type="dxa"/>
            <w:tcMar>
              <w:left w:w="28" w:type="dxa"/>
              <w:right w:w="28" w:type="dxa"/>
            </w:tcMar>
            <w:vAlign w:val="center"/>
          </w:tcPr>
          <w:p>
            <w:pPr>
              <w:pStyle w:val="63"/>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在建工程</w:t>
            </w:r>
          </w:p>
          <w:p>
            <w:pPr>
              <w:pStyle w:val="63"/>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排放量（固体废物产生量）</w:t>
            </w:r>
            <w:r>
              <w:rPr>
                <w:rFonts w:ascii="Times New Roman"/>
                <w:snapToGrid w:val="0"/>
                <w:color w:val="auto"/>
                <w:spacing w:val="-6"/>
                <w:kern w:val="21"/>
                <w:sz w:val="20"/>
                <w:szCs w:val="20"/>
                <w:highlight w:val="none"/>
              </w:rPr>
              <w:fldChar w:fldCharType="begin"/>
            </w:r>
            <w:r>
              <w:rPr>
                <w:rFonts w:ascii="Times New Roman"/>
                <w:snapToGrid w:val="0"/>
                <w:color w:val="auto"/>
                <w:spacing w:val="-6"/>
                <w:kern w:val="21"/>
                <w:sz w:val="20"/>
                <w:szCs w:val="20"/>
                <w:highlight w:val="none"/>
              </w:rPr>
              <w:instrText xml:space="preserve"> = 3 \* GB3 \* MERGEFORMAT </w:instrText>
            </w:r>
            <w:r>
              <w:rPr>
                <w:rFonts w:ascii="Times New Roman"/>
                <w:snapToGrid w:val="0"/>
                <w:color w:val="auto"/>
                <w:spacing w:val="-6"/>
                <w:kern w:val="21"/>
                <w:sz w:val="20"/>
                <w:szCs w:val="20"/>
                <w:highlight w:val="none"/>
              </w:rPr>
              <w:fldChar w:fldCharType="separate"/>
            </w:r>
            <w:r>
              <w:rPr>
                <w:rFonts w:hint="eastAsia" w:hAnsi="宋体" w:cs="宋体"/>
                <w:color w:val="auto"/>
                <w:kern w:val="2"/>
                <w:sz w:val="20"/>
                <w:szCs w:val="20"/>
                <w:highlight w:val="none"/>
              </w:rPr>
              <w:t>③</w:t>
            </w:r>
            <w:r>
              <w:rPr>
                <w:rFonts w:ascii="Times New Roman"/>
                <w:snapToGrid w:val="0"/>
                <w:color w:val="auto"/>
                <w:spacing w:val="-6"/>
                <w:kern w:val="21"/>
                <w:sz w:val="20"/>
                <w:szCs w:val="20"/>
                <w:highlight w:val="none"/>
              </w:rPr>
              <w:fldChar w:fldCharType="end"/>
            </w:r>
          </w:p>
        </w:tc>
        <w:tc>
          <w:tcPr>
            <w:tcW w:w="1559" w:type="dxa"/>
            <w:tcMar>
              <w:left w:w="28" w:type="dxa"/>
              <w:right w:w="28" w:type="dxa"/>
            </w:tcMar>
            <w:vAlign w:val="center"/>
          </w:tcPr>
          <w:p>
            <w:pPr>
              <w:pStyle w:val="63"/>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本项目</w:t>
            </w:r>
          </w:p>
          <w:p>
            <w:pPr>
              <w:pStyle w:val="63"/>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排放量（固体废物产生量）</w:t>
            </w:r>
            <w:r>
              <w:rPr>
                <w:rFonts w:ascii="Times New Roman"/>
                <w:snapToGrid w:val="0"/>
                <w:color w:val="auto"/>
                <w:spacing w:val="-6"/>
                <w:kern w:val="21"/>
                <w:sz w:val="20"/>
                <w:szCs w:val="20"/>
                <w:highlight w:val="none"/>
              </w:rPr>
              <w:fldChar w:fldCharType="begin"/>
            </w:r>
            <w:r>
              <w:rPr>
                <w:rFonts w:ascii="Times New Roman"/>
                <w:snapToGrid w:val="0"/>
                <w:color w:val="auto"/>
                <w:spacing w:val="-6"/>
                <w:kern w:val="21"/>
                <w:sz w:val="20"/>
                <w:szCs w:val="20"/>
                <w:highlight w:val="none"/>
              </w:rPr>
              <w:instrText xml:space="preserve"> = 4 \* GB3 \* MERGEFORMAT </w:instrText>
            </w:r>
            <w:r>
              <w:rPr>
                <w:rFonts w:ascii="Times New Roman"/>
                <w:snapToGrid w:val="0"/>
                <w:color w:val="auto"/>
                <w:spacing w:val="-6"/>
                <w:kern w:val="21"/>
                <w:sz w:val="20"/>
                <w:szCs w:val="20"/>
                <w:highlight w:val="none"/>
              </w:rPr>
              <w:fldChar w:fldCharType="separate"/>
            </w:r>
            <w:r>
              <w:rPr>
                <w:rFonts w:hint="eastAsia" w:hAnsi="宋体" w:cs="宋体"/>
                <w:color w:val="auto"/>
                <w:kern w:val="2"/>
                <w:sz w:val="20"/>
                <w:szCs w:val="20"/>
                <w:highlight w:val="none"/>
              </w:rPr>
              <w:t>④</w:t>
            </w:r>
            <w:r>
              <w:rPr>
                <w:rFonts w:ascii="Times New Roman"/>
                <w:snapToGrid w:val="0"/>
                <w:color w:val="auto"/>
                <w:spacing w:val="-6"/>
                <w:kern w:val="21"/>
                <w:sz w:val="20"/>
                <w:szCs w:val="20"/>
                <w:highlight w:val="none"/>
              </w:rPr>
              <w:fldChar w:fldCharType="end"/>
            </w:r>
          </w:p>
        </w:tc>
        <w:tc>
          <w:tcPr>
            <w:tcW w:w="1521" w:type="dxa"/>
            <w:tcMar>
              <w:left w:w="28" w:type="dxa"/>
              <w:right w:w="28" w:type="dxa"/>
            </w:tcMar>
            <w:vAlign w:val="center"/>
          </w:tcPr>
          <w:p>
            <w:pPr>
              <w:pStyle w:val="63"/>
              <w:spacing w:beforeLines="0" w:afterLines="0" w:line="240" w:lineRule="auto"/>
              <w:rPr>
                <w:rFonts w:ascii="Times New Roman"/>
                <w:snapToGrid w:val="0"/>
                <w:color w:val="auto"/>
                <w:spacing w:val="-16"/>
                <w:kern w:val="21"/>
                <w:sz w:val="20"/>
                <w:szCs w:val="20"/>
                <w:highlight w:val="none"/>
              </w:rPr>
            </w:pPr>
            <w:r>
              <w:rPr>
                <w:rFonts w:ascii="Times New Roman"/>
                <w:snapToGrid w:val="0"/>
                <w:color w:val="auto"/>
                <w:spacing w:val="-16"/>
                <w:kern w:val="21"/>
                <w:sz w:val="20"/>
                <w:szCs w:val="20"/>
                <w:highlight w:val="none"/>
              </w:rPr>
              <w:t>以新带老削减量</w:t>
            </w:r>
          </w:p>
          <w:p>
            <w:pPr>
              <w:pStyle w:val="63"/>
              <w:spacing w:beforeLines="0" w:afterLines="0" w:line="240" w:lineRule="auto"/>
              <w:rPr>
                <w:rFonts w:ascii="Times New Roman"/>
                <w:snapToGrid w:val="0"/>
                <w:color w:val="auto"/>
                <w:spacing w:val="-16"/>
                <w:kern w:val="21"/>
                <w:sz w:val="20"/>
                <w:szCs w:val="20"/>
                <w:highlight w:val="none"/>
              </w:rPr>
            </w:pPr>
            <w:r>
              <w:rPr>
                <w:rFonts w:ascii="Times New Roman"/>
                <w:snapToGrid w:val="0"/>
                <w:color w:val="auto"/>
                <w:spacing w:val="-16"/>
                <w:kern w:val="21"/>
                <w:sz w:val="20"/>
                <w:szCs w:val="20"/>
                <w:highlight w:val="none"/>
              </w:rPr>
              <w:t>（新建项目不填）</w:t>
            </w:r>
            <w:r>
              <w:rPr>
                <w:rFonts w:ascii="Times New Roman"/>
                <w:snapToGrid w:val="0"/>
                <w:color w:val="auto"/>
                <w:spacing w:val="-16"/>
                <w:kern w:val="21"/>
                <w:sz w:val="20"/>
                <w:szCs w:val="20"/>
                <w:highlight w:val="none"/>
              </w:rPr>
              <w:fldChar w:fldCharType="begin"/>
            </w:r>
            <w:r>
              <w:rPr>
                <w:rFonts w:ascii="Times New Roman"/>
                <w:snapToGrid w:val="0"/>
                <w:color w:val="auto"/>
                <w:spacing w:val="-16"/>
                <w:kern w:val="21"/>
                <w:sz w:val="20"/>
                <w:szCs w:val="20"/>
                <w:highlight w:val="none"/>
              </w:rPr>
              <w:instrText xml:space="preserve"> = 5 \* GB3 \* MERGEFORMAT </w:instrText>
            </w:r>
            <w:r>
              <w:rPr>
                <w:rFonts w:ascii="Times New Roman"/>
                <w:snapToGrid w:val="0"/>
                <w:color w:val="auto"/>
                <w:spacing w:val="-16"/>
                <w:kern w:val="21"/>
                <w:sz w:val="20"/>
                <w:szCs w:val="20"/>
                <w:highlight w:val="none"/>
              </w:rPr>
              <w:fldChar w:fldCharType="separate"/>
            </w:r>
            <w:r>
              <w:rPr>
                <w:rFonts w:hint="eastAsia" w:hAnsi="宋体" w:cs="宋体"/>
                <w:color w:val="auto"/>
                <w:kern w:val="2"/>
                <w:sz w:val="20"/>
                <w:szCs w:val="20"/>
                <w:highlight w:val="none"/>
              </w:rPr>
              <w:t>⑤</w:t>
            </w:r>
            <w:r>
              <w:rPr>
                <w:rFonts w:ascii="Times New Roman"/>
                <w:snapToGrid w:val="0"/>
                <w:color w:val="auto"/>
                <w:spacing w:val="-16"/>
                <w:kern w:val="21"/>
                <w:sz w:val="20"/>
                <w:szCs w:val="20"/>
                <w:highlight w:val="none"/>
              </w:rPr>
              <w:fldChar w:fldCharType="end"/>
            </w:r>
          </w:p>
        </w:tc>
        <w:tc>
          <w:tcPr>
            <w:tcW w:w="1701" w:type="dxa"/>
            <w:tcMar>
              <w:left w:w="28" w:type="dxa"/>
              <w:right w:w="28" w:type="dxa"/>
            </w:tcMar>
            <w:vAlign w:val="center"/>
          </w:tcPr>
          <w:p>
            <w:pPr>
              <w:pStyle w:val="63"/>
              <w:spacing w:beforeLines="0" w:afterLines="0" w:line="240" w:lineRule="auto"/>
              <w:rPr>
                <w:rFonts w:ascii="Times New Roman"/>
                <w:snapToGrid w:val="0"/>
                <w:color w:val="auto"/>
                <w:spacing w:val="-16"/>
                <w:kern w:val="21"/>
                <w:sz w:val="20"/>
                <w:szCs w:val="20"/>
                <w:highlight w:val="none"/>
              </w:rPr>
            </w:pPr>
            <w:r>
              <w:rPr>
                <w:rFonts w:ascii="Times New Roman"/>
                <w:snapToGrid w:val="0"/>
                <w:color w:val="auto"/>
                <w:spacing w:val="-16"/>
                <w:kern w:val="21"/>
                <w:sz w:val="20"/>
                <w:szCs w:val="20"/>
                <w:highlight w:val="none"/>
              </w:rPr>
              <w:t>本项目建成后</w:t>
            </w:r>
          </w:p>
          <w:p>
            <w:pPr>
              <w:pStyle w:val="63"/>
              <w:spacing w:beforeLines="0" w:afterLines="0" w:line="240" w:lineRule="auto"/>
              <w:rPr>
                <w:rFonts w:ascii="Times New Roman"/>
                <w:snapToGrid w:val="0"/>
                <w:color w:val="auto"/>
                <w:spacing w:val="-16"/>
                <w:kern w:val="21"/>
                <w:sz w:val="20"/>
                <w:szCs w:val="20"/>
                <w:highlight w:val="none"/>
              </w:rPr>
            </w:pPr>
            <w:r>
              <w:rPr>
                <w:rFonts w:ascii="Times New Roman"/>
                <w:snapToGrid w:val="0"/>
                <w:color w:val="auto"/>
                <w:spacing w:val="-16"/>
                <w:kern w:val="21"/>
                <w:sz w:val="20"/>
                <w:szCs w:val="20"/>
                <w:highlight w:val="none"/>
              </w:rPr>
              <w:t>全厂排放量（固体废物产生量）</w:t>
            </w:r>
            <w:r>
              <w:rPr>
                <w:rFonts w:ascii="Times New Roman"/>
                <w:snapToGrid w:val="0"/>
                <w:color w:val="auto"/>
                <w:spacing w:val="-16"/>
                <w:kern w:val="21"/>
                <w:sz w:val="20"/>
                <w:szCs w:val="20"/>
                <w:highlight w:val="none"/>
              </w:rPr>
              <w:fldChar w:fldCharType="begin"/>
            </w:r>
            <w:r>
              <w:rPr>
                <w:rFonts w:ascii="Times New Roman"/>
                <w:snapToGrid w:val="0"/>
                <w:color w:val="auto"/>
                <w:spacing w:val="-16"/>
                <w:kern w:val="21"/>
                <w:sz w:val="20"/>
                <w:szCs w:val="20"/>
                <w:highlight w:val="none"/>
              </w:rPr>
              <w:instrText xml:space="preserve"> = 6 \* GB3 \* MERGEFORMAT </w:instrText>
            </w:r>
            <w:r>
              <w:rPr>
                <w:rFonts w:ascii="Times New Roman"/>
                <w:snapToGrid w:val="0"/>
                <w:color w:val="auto"/>
                <w:spacing w:val="-16"/>
                <w:kern w:val="21"/>
                <w:sz w:val="20"/>
                <w:szCs w:val="20"/>
                <w:highlight w:val="none"/>
              </w:rPr>
              <w:fldChar w:fldCharType="separate"/>
            </w:r>
            <w:r>
              <w:rPr>
                <w:rFonts w:hint="eastAsia" w:hAnsi="宋体" w:cs="宋体"/>
                <w:color w:val="auto"/>
                <w:kern w:val="2"/>
                <w:sz w:val="20"/>
                <w:szCs w:val="20"/>
                <w:highlight w:val="none"/>
              </w:rPr>
              <w:t>⑥</w:t>
            </w:r>
            <w:r>
              <w:rPr>
                <w:rFonts w:ascii="Times New Roman"/>
                <w:snapToGrid w:val="0"/>
                <w:color w:val="auto"/>
                <w:spacing w:val="-16"/>
                <w:kern w:val="21"/>
                <w:sz w:val="20"/>
                <w:szCs w:val="20"/>
                <w:highlight w:val="none"/>
              </w:rPr>
              <w:fldChar w:fldCharType="end"/>
            </w:r>
          </w:p>
        </w:tc>
        <w:tc>
          <w:tcPr>
            <w:tcW w:w="1324" w:type="dxa"/>
            <w:tcMar>
              <w:left w:w="28" w:type="dxa"/>
              <w:right w:w="28" w:type="dxa"/>
            </w:tcMar>
            <w:vAlign w:val="center"/>
          </w:tcPr>
          <w:p>
            <w:pPr>
              <w:pStyle w:val="63"/>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t>变化量</w:t>
            </w:r>
          </w:p>
          <w:p>
            <w:pPr>
              <w:pStyle w:val="63"/>
              <w:spacing w:beforeLines="0" w:afterLines="0" w:line="240" w:lineRule="auto"/>
              <w:rPr>
                <w:rFonts w:ascii="Times New Roman"/>
                <w:snapToGrid w:val="0"/>
                <w:color w:val="auto"/>
                <w:spacing w:val="-6"/>
                <w:kern w:val="21"/>
                <w:sz w:val="20"/>
                <w:szCs w:val="20"/>
                <w:highlight w:val="none"/>
              </w:rPr>
            </w:pPr>
            <w:r>
              <w:rPr>
                <w:rFonts w:ascii="Times New Roman"/>
                <w:snapToGrid w:val="0"/>
                <w:color w:val="auto"/>
                <w:spacing w:val="-6"/>
                <w:kern w:val="21"/>
                <w:sz w:val="20"/>
                <w:szCs w:val="20"/>
                <w:highlight w:val="none"/>
              </w:rPr>
              <w:fldChar w:fldCharType="begin"/>
            </w:r>
            <w:r>
              <w:rPr>
                <w:rFonts w:ascii="Times New Roman"/>
                <w:snapToGrid w:val="0"/>
                <w:color w:val="auto"/>
                <w:spacing w:val="-6"/>
                <w:kern w:val="21"/>
                <w:sz w:val="20"/>
                <w:szCs w:val="20"/>
                <w:highlight w:val="none"/>
              </w:rPr>
              <w:instrText xml:space="preserve"> = 7 \* GB3 \* MERGEFORMAT </w:instrText>
            </w:r>
            <w:r>
              <w:rPr>
                <w:rFonts w:ascii="Times New Roman"/>
                <w:snapToGrid w:val="0"/>
                <w:color w:val="auto"/>
                <w:spacing w:val="-6"/>
                <w:kern w:val="21"/>
                <w:sz w:val="20"/>
                <w:szCs w:val="20"/>
                <w:highlight w:val="none"/>
              </w:rPr>
              <w:fldChar w:fldCharType="separate"/>
            </w:r>
            <w:r>
              <w:rPr>
                <w:rFonts w:hint="eastAsia" w:hAnsi="宋体" w:cs="宋体"/>
                <w:color w:val="auto"/>
                <w:kern w:val="2"/>
                <w:sz w:val="20"/>
                <w:szCs w:val="20"/>
                <w:highlight w:val="none"/>
              </w:rPr>
              <w:t>⑦</w:t>
            </w:r>
            <w:r>
              <w:rPr>
                <w:rFonts w:ascii="Times New Roman"/>
                <w:snapToGrid w:val="0"/>
                <w:color w:val="auto"/>
                <w:spacing w:val="-6"/>
                <w:kern w:val="21"/>
                <w:sz w:val="20"/>
                <w:szCs w:val="20"/>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63"/>
              <w:spacing w:beforeLines="0" w:afterLines="0" w:line="240" w:lineRule="auto"/>
              <w:rPr>
                <w:rFonts w:ascii="Times New Roman"/>
                <w:snapToGrid w:val="0"/>
                <w:color w:val="auto"/>
                <w:kern w:val="21"/>
                <w:sz w:val="20"/>
                <w:szCs w:val="20"/>
                <w:highlight w:val="none"/>
              </w:rPr>
            </w:pPr>
            <w:r>
              <w:rPr>
                <w:rFonts w:ascii="Times New Roman"/>
                <w:snapToGrid w:val="0"/>
                <w:color w:val="auto"/>
                <w:kern w:val="21"/>
                <w:sz w:val="20"/>
                <w:szCs w:val="20"/>
                <w:highlight w:val="none"/>
              </w:rPr>
              <w:t>废气</w:t>
            </w:r>
          </w:p>
        </w:tc>
        <w:tc>
          <w:tcPr>
            <w:tcW w:w="1417" w:type="dxa"/>
            <w:vAlign w:val="center"/>
          </w:tcPr>
          <w:p>
            <w:pPr>
              <w:pStyle w:val="63"/>
              <w:spacing w:beforeLines="0" w:afterLines="0" w:line="240" w:lineRule="auto"/>
              <w:rPr>
                <w:rFonts w:ascii="Times New Roman"/>
                <w:snapToGrid w:val="0"/>
                <w:color w:val="auto"/>
                <w:kern w:val="21"/>
                <w:sz w:val="20"/>
                <w:szCs w:val="20"/>
                <w:highlight w:val="none"/>
              </w:rPr>
            </w:pPr>
            <w:r>
              <w:rPr>
                <w:rFonts w:hint="eastAsia" w:ascii="Times New Roman"/>
                <w:snapToGrid w:val="0"/>
                <w:color w:val="auto"/>
                <w:kern w:val="21"/>
                <w:sz w:val="20"/>
                <w:szCs w:val="20"/>
                <w:highlight w:val="none"/>
              </w:rPr>
              <w:t>颗粒物</w:t>
            </w:r>
          </w:p>
        </w:tc>
        <w:tc>
          <w:tcPr>
            <w:tcW w:w="1701" w:type="dxa"/>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eastAsia" w:ascii="Times New Roman" w:eastAsia="宋体"/>
                <w:snapToGrid w:val="0"/>
                <w:color w:val="auto"/>
                <w:kern w:val="21"/>
                <w:sz w:val="20"/>
                <w:szCs w:val="20"/>
                <w:highlight w:val="none"/>
                <w:lang w:val="en-US" w:eastAsia="zh-CN"/>
              </w:rPr>
            </w:pPr>
          </w:p>
        </w:tc>
        <w:tc>
          <w:tcPr>
            <w:tcW w:w="1276" w:type="dxa"/>
            <w:vAlign w:val="center"/>
          </w:tcPr>
          <w:p>
            <w:pPr>
              <w:pStyle w:val="63"/>
              <w:spacing w:beforeLines="0" w:afterLines="0" w:line="240" w:lineRule="auto"/>
              <w:rPr>
                <w:rFonts w:hint="eastAsia" w:ascii="Times New Roman" w:eastAsia="宋体"/>
                <w:snapToGrid w:val="0"/>
                <w:color w:val="auto"/>
                <w:kern w:val="21"/>
                <w:sz w:val="20"/>
                <w:szCs w:val="20"/>
                <w:highlight w:val="none"/>
                <w:lang w:val="en-US" w:eastAsia="zh-CN"/>
              </w:rPr>
            </w:pPr>
          </w:p>
        </w:tc>
        <w:tc>
          <w:tcPr>
            <w:tcW w:w="1701" w:type="dxa"/>
            <w:vAlign w:val="center"/>
          </w:tcPr>
          <w:p>
            <w:pPr>
              <w:pStyle w:val="63"/>
              <w:spacing w:beforeLines="0" w:afterLines="0" w:line="240" w:lineRule="auto"/>
              <w:rPr>
                <w:rFonts w:hint="eastAsia" w:ascii="Times New Roman" w:eastAsia="宋体"/>
                <w:snapToGrid w:val="0"/>
                <w:color w:val="auto"/>
                <w:kern w:val="21"/>
                <w:sz w:val="20"/>
                <w:szCs w:val="20"/>
                <w:highlight w:val="none"/>
                <w:lang w:val="en-US" w:eastAsia="zh-CN"/>
              </w:rPr>
            </w:pPr>
          </w:p>
        </w:tc>
        <w:tc>
          <w:tcPr>
            <w:tcW w:w="1559"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0"/>
                <w:szCs w:val="20"/>
                <w:highlight w:val="none"/>
                <w:lang w:val="en-US"/>
              </w:rPr>
            </w:pPr>
            <w:r>
              <w:rPr>
                <w:rFonts w:hint="eastAsia" w:cs="Times New Roman"/>
                <w:color w:val="auto"/>
                <w:sz w:val="20"/>
                <w:szCs w:val="20"/>
                <w:highlight w:val="none"/>
                <w:lang w:val="en-US" w:eastAsia="zh-CN"/>
              </w:rPr>
              <w:t>0.6</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521" w:type="dxa"/>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eastAsia" w:ascii="Times New Roman" w:hAnsi="Times New Roman" w:eastAsia="宋体" w:cs="Times New Roman"/>
                <w:snapToGrid w:val="0"/>
                <w:color w:val="auto"/>
                <w:kern w:val="21"/>
                <w:sz w:val="20"/>
                <w:szCs w:val="20"/>
                <w:highlight w:val="none"/>
                <w:lang w:val="en-US" w:eastAsia="zh-CN"/>
              </w:rPr>
            </w:pPr>
          </w:p>
        </w:tc>
        <w:tc>
          <w:tcPr>
            <w:tcW w:w="1701"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0"/>
                <w:szCs w:val="20"/>
                <w:highlight w:val="none"/>
                <w:lang w:val="en-US"/>
              </w:rPr>
            </w:pPr>
            <w:r>
              <w:rPr>
                <w:rFonts w:hint="eastAsia" w:cs="Times New Roman"/>
                <w:color w:val="auto"/>
                <w:sz w:val="20"/>
                <w:szCs w:val="20"/>
                <w:highlight w:val="none"/>
                <w:lang w:val="en-US" w:eastAsia="zh-CN"/>
              </w:rPr>
              <w:t>0.6</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324"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kern w:val="21"/>
                <w:sz w:val="20"/>
                <w:szCs w:val="20"/>
                <w:highlight w:val="none"/>
              </w:rPr>
            </w:pPr>
            <w:r>
              <w:rPr>
                <w:rFonts w:hint="eastAsia" w:cs="Times New Roman"/>
                <w:color w:val="auto"/>
                <w:sz w:val="20"/>
                <w:szCs w:val="20"/>
                <w:highlight w:val="none"/>
                <w:lang w:val="en-US" w:eastAsia="zh-CN"/>
              </w:rPr>
              <w:t>0.6</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63"/>
              <w:spacing w:beforeLines="0" w:afterLines="0" w:line="240" w:lineRule="auto"/>
              <w:rPr>
                <w:rFonts w:ascii="Times New Roman"/>
                <w:snapToGrid w:val="0"/>
                <w:color w:val="auto"/>
                <w:kern w:val="21"/>
                <w:sz w:val="20"/>
                <w:szCs w:val="20"/>
                <w:highlight w:val="none"/>
              </w:rPr>
            </w:pPr>
          </w:p>
        </w:tc>
        <w:tc>
          <w:tcPr>
            <w:tcW w:w="1417" w:type="dxa"/>
            <w:vAlign w:val="center"/>
          </w:tcPr>
          <w:p>
            <w:pPr>
              <w:pStyle w:val="63"/>
              <w:spacing w:beforeLines="0" w:afterLines="0" w:line="240" w:lineRule="auto"/>
              <w:rPr>
                <w:rFonts w:ascii="Times New Roman"/>
                <w:snapToGrid w:val="0"/>
                <w:color w:val="auto"/>
                <w:kern w:val="21"/>
                <w:sz w:val="20"/>
                <w:szCs w:val="20"/>
                <w:highlight w:val="none"/>
              </w:rPr>
            </w:pPr>
          </w:p>
        </w:tc>
        <w:tc>
          <w:tcPr>
            <w:tcW w:w="1701" w:type="dxa"/>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ascii="Times New Roman"/>
                <w:snapToGrid w:val="0"/>
                <w:color w:val="auto"/>
                <w:kern w:val="21"/>
                <w:sz w:val="20"/>
                <w:szCs w:val="20"/>
                <w:highlight w:val="none"/>
              </w:rPr>
            </w:pPr>
          </w:p>
        </w:tc>
        <w:tc>
          <w:tcPr>
            <w:tcW w:w="1276" w:type="dxa"/>
            <w:vAlign w:val="center"/>
          </w:tcPr>
          <w:p>
            <w:pPr>
              <w:pStyle w:val="63"/>
              <w:spacing w:beforeLines="0" w:afterLines="0" w:line="240" w:lineRule="auto"/>
              <w:rPr>
                <w:rFonts w:ascii="Times New Roman"/>
                <w:snapToGrid w:val="0"/>
                <w:color w:val="auto"/>
                <w:kern w:val="21"/>
                <w:sz w:val="20"/>
                <w:szCs w:val="20"/>
                <w:highlight w:val="none"/>
              </w:rPr>
            </w:pPr>
          </w:p>
        </w:tc>
        <w:tc>
          <w:tcPr>
            <w:tcW w:w="1701" w:type="dxa"/>
            <w:vAlign w:val="center"/>
          </w:tcPr>
          <w:p>
            <w:pPr>
              <w:pStyle w:val="63"/>
              <w:spacing w:beforeLines="0" w:afterLines="0" w:line="240" w:lineRule="auto"/>
              <w:rPr>
                <w:rFonts w:ascii="Times New Roman"/>
                <w:snapToGrid w:val="0"/>
                <w:color w:val="auto"/>
                <w:kern w:val="21"/>
                <w:sz w:val="20"/>
                <w:szCs w:val="20"/>
                <w:highlight w:val="none"/>
              </w:rPr>
            </w:pPr>
          </w:p>
        </w:tc>
        <w:tc>
          <w:tcPr>
            <w:tcW w:w="1559"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0"/>
                <w:szCs w:val="20"/>
                <w:highlight w:val="none"/>
                <w:lang w:val="en-US" w:eastAsia="zh-CN"/>
              </w:rPr>
            </w:pPr>
          </w:p>
        </w:tc>
        <w:tc>
          <w:tcPr>
            <w:tcW w:w="1521" w:type="dxa"/>
            <w:vAlign w:val="center"/>
          </w:tcPr>
          <w:p>
            <w:pPr>
              <w:keepNext w:val="0"/>
              <w:keepLines w:val="0"/>
              <w:pageBreakBefore w:val="0"/>
              <w:widowControl/>
              <w:kinsoku/>
              <w:wordWrap/>
              <w:overflowPunct/>
              <w:topLinePunct w:val="0"/>
              <w:autoSpaceDE/>
              <w:autoSpaceDN/>
              <w:bidi w:val="0"/>
              <w:spacing w:line="240" w:lineRule="auto"/>
              <w:jc w:val="center"/>
              <w:textAlignment w:val="center"/>
              <w:rPr>
                <w:rFonts w:hint="eastAsia" w:ascii="Times New Roman" w:hAnsi="Times New Roman" w:eastAsia="宋体" w:cs="Times New Roman"/>
                <w:snapToGrid w:val="0"/>
                <w:color w:val="auto"/>
                <w:kern w:val="21"/>
                <w:sz w:val="20"/>
                <w:szCs w:val="20"/>
                <w:highlight w:val="none"/>
              </w:rPr>
            </w:pPr>
          </w:p>
        </w:tc>
        <w:tc>
          <w:tcPr>
            <w:tcW w:w="1701"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0"/>
                <w:szCs w:val="20"/>
                <w:highlight w:val="none"/>
                <w:lang w:val="en-US" w:eastAsia="zh-CN"/>
              </w:rPr>
            </w:pPr>
          </w:p>
        </w:tc>
        <w:tc>
          <w:tcPr>
            <w:tcW w:w="1324"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1"/>
                <w:sz w:val="20"/>
                <w:szCs w:val="20"/>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Align w:val="center"/>
          </w:tcPr>
          <w:p>
            <w:pPr>
              <w:pStyle w:val="63"/>
              <w:spacing w:beforeLines="0" w:afterLines="0" w:line="240" w:lineRule="auto"/>
              <w:rPr>
                <w:rFonts w:ascii="Times New Roman"/>
                <w:snapToGrid w:val="0"/>
                <w:color w:val="auto"/>
                <w:kern w:val="21"/>
                <w:sz w:val="20"/>
                <w:szCs w:val="20"/>
                <w:highlight w:val="none"/>
              </w:rPr>
            </w:pPr>
            <w:r>
              <w:rPr>
                <w:rFonts w:ascii="Times New Roman"/>
                <w:snapToGrid w:val="0"/>
                <w:color w:val="auto"/>
                <w:kern w:val="21"/>
                <w:sz w:val="20"/>
                <w:szCs w:val="20"/>
                <w:highlight w:val="none"/>
              </w:rPr>
              <w:t>废水</w:t>
            </w:r>
          </w:p>
        </w:tc>
        <w:tc>
          <w:tcPr>
            <w:tcW w:w="1417" w:type="dxa"/>
            <w:vAlign w:val="center"/>
          </w:tcPr>
          <w:p>
            <w:pPr>
              <w:pStyle w:val="63"/>
              <w:spacing w:beforeLines="0" w:afterLines="0" w:line="240" w:lineRule="auto"/>
              <w:rPr>
                <w:rFonts w:ascii="Times New Roman"/>
                <w:snapToGrid w:val="0"/>
                <w:color w:val="auto"/>
                <w:kern w:val="21"/>
                <w:sz w:val="20"/>
                <w:szCs w:val="20"/>
                <w:highlight w:val="none"/>
              </w:rPr>
            </w:pPr>
          </w:p>
        </w:tc>
        <w:tc>
          <w:tcPr>
            <w:tcW w:w="1701" w:type="dxa"/>
            <w:vAlign w:val="center"/>
          </w:tcPr>
          <w:p>
            <w:pPr>
              <w:pStyle w:val="63"/>
              <w:spacing w:beforeLines="0" w:afterLines="0" w:line="240" w:lineRule="auto"/>
              <w:rPr>
                <w:rFonts w:ascii="Times New Roman"/>
                <w:snapToGrid w:val="0"/>
                <w:color w:val="auto"/>
                <w:kern w:val="21"/>
                <w:sz w:val="20"/>
                <w:szCs w:val="20"/>
                <w:highlight w:val="none"/>
              </w:rPr>
            </w:pPr>
          </w:p>
        </w:tc>
        <w:tc>
          <w:tcPr>
            <w:tcW w:w="1276" w:type="dxa"/>
            <w:vAlign w:val="center"/>
          </w:tcPr>
          <w:p>
            <w:pPr>
              <w:pStyle w:val="63"/>
              <w:spacing w:beforeLines="0" w:afterLines="0" w:line="240" w:lineRule="auto"/>
              <w:rPr>
                <w:rFonts w:ascii="Times New Roman"/>
                <w:snapToGrid w:val="0"/>
                <w:color w:val="auto"/>
                <w:kern w:val="21"/>
                <w:sz w:val="20"/>
                <w:szCs w:val="20"/>
                <w:highlight w:val="none"/>
              </w:rPr>
            </w:pPr>
          </w:p>
        </w:tc>
        <w:tc>
          <w:tcPr>
            <w:tcW w:w="1701" w:type="dxa"/>
            <w:vAlign w:val="center"/>
          </w:tcPr>
          <w:p>
            <w:pPr>
              <w:pStyle w:val="63"/>
              <w:spacing w:beforeLines="0" w:afterLines="0" w:line="240" w:lineRule="auto"/>
              <w:rPr>
                <w:rFonts w:ascii="Times New Roman"/>
                <w:snapToGrid w:val="0"/>
                <w:color w:val="auto"/>
                <w:kern w:val="21"/>
                <w:sz w:val="20"/>
                <w:szCs w:val="20"/>
                <w:highlight w:val="none"/>
              </w:rPr>
            </w:pPr>
          </w:p>
        </w:tc>
        <w:tc>
          <w:tcPr>
            <w:tcW w:w="1559" w:type="dxa"/>
            <w:vAlign w:val="center"/>
          </w:tcPr>
          <w:p>
            <w:pPr>
              <w:pStyle w:val="63"/>
              <w:spacing w:beforeLines="0" w:afterLines="0" w:line="240" w:lineRule="auto"/>
              <w:rPr>
                <w:rFonts w:ascii="Times New Roman"/>
                <w:snapToGrid w:val="0"/>
                <w:color w:val="auto"/>
                <w:kern w:val="21"/>
                <w:sz w:val="20"/>
                <w:szCs w:val="20"/>
                <w:highlight w:val="none"/>
              </w:rPr>
            </w:pPr>
          </w:p>
        </w:tc>
        <w:tc>
          <w:tcPr>
            <w:tcW w:w="1521" w:type="dxa"/>
            <w:vAlign w:val="center"/>
          </w:tcPr>
          <w:p>
            <w:pPr>
              <w:pStyle w:val="63"/>
              <w:spacing w:beforeLines="0" w:afterLines="0" w:line="240" w:lineRule="auto"/>
              <w:rPr>
                <w:rFonts w:ascii="Times New Roman"/>
                <w:snapToGrid w:val="0"/>
                <w:color w:val="auto"/>
                <w:kern w:val="21"/>
                <w:sz w:val="20"/>
                <w:szCs w:val="20"/>
                <w:highlight w:val="none"/>
              </w:rPr>
            </w:pPr>
          </w:p>
        </w:tc>
        <w:tc>
          <w:tcPr>
            <w:tcW w:w="1701" w:type="dxa"/>
            <w:vAlign w:val="center"/>
          </w:tcPr>
          <w:p>
            <w:pPr>
              <w:pStyle w:val="63"/>
              <w:spacing w:beforeLines="0" w:afterLines="0" w:line="240" w:lineRule="auto"/>
              <w:rPr>
                <w:rFonts w:ascii="Times New Roman"/>
                <w:snapToGrid w:val="0"/>
                <w:color w:val="auto"/>
                <w:kern w:val="21"/>
                <w:sz w:val="20"/>
                <w:szCs w:val="20"/>
                <w:highlight w:val="none"/>
              </w:rPr>
            </w:pPr>
          </w:p>
        </w:tc>
        <w:tc>
          <w:tcPr>
            <w:tcW w:w="1324" w:type="dxa"/>
            <w:vAlign w:val="center"/>
          </w:tcPr>
          <w:p>
            <w:pPr>
              <w:pStyle w:val="63"/>
              <w:spacing w:beforeLines="0" w:afterLines="0" w:line="240" w:lineRule="auto"/>
              <w:rPr>
                <w:rFonts w:ascii="Times New Roman"/>
                <w:snapToGrid w:val="0"/>
                <w:color w:val="auto"/>
                <w:kern w:val="21"/>
                <w:sz w:val="20"/>
                <w:szCs w:val="20"/>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63"/>
              <w:spacing w:beforeLines="0" w:afterLines="0" w:line="240" w:lineRule="auto"/>
              <w:rPr>
                <w:rFonts w:ascii="Times New Roman"/>
                <w:snapToGrid w:val="0"/>
                <w:color w:val="auto"/>
                <w:kern w:val="21"/>
                <w:sz w:val="20"/>
                <w:szCs w:val="20"/>
                <w:highlight w:val="none"/>
              </w:rPr>
            </w:pPr>
            <w:r>
              <w:rPr>
                <w:rFonts w:ascii="Times New Roman"/>
                <w:snapToGrid w:val="0"/>
                <w:color w:val="auto"/>
                <w:kern w:val="21"/>
                <w:sz w:val="20"/>
                <w:szCs w:val="20"/>
                <w:highlight w:val="none"/>
              </w:rPr>
              <w:t>一般工业</w:t>
            </w:r>
          </w:p>
          <w:p>
            <w:pPr>
              <w:pStyle w:val="63"/>
              <w:spacing w:beforeLines="0" w:afterLines="0" w:line="240" w:lineRule="auto"/>
              <w:rPr>
                <w:rFonts w:ascii="Times New Roman"/>
                <w:snapToGrid w:val="0"/>
                <w:color w:val="auto"/>
                <w:kern w:val="21"/>
                <w:sz w:val="20"/>
                <w:szCs w:val="20"/>
                <w:highlight w:val="none"/>
              </w:rPr>
            </w:pPr>
            <w:r>
              <w:rPr>
                <w:rFonts w:ascii="Times New Roman"/>
                <w:snapToGrid w:val="0"/>
                <w:color w:val="auto"/>
                <w:kern w:val="21"/>
                <w:sz w:val="20"/>
                <w:szCs w:val="20"/>
                <w:highlight w:val="none"/>
              </w:rPr>
              <w:t>固体废物</w:t>
            </w:r>
          </w:p>
        </w:tc>
        <w:tc>
          <w:tcPr>
            <w:tcW w:w="1417"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ascii="Times New Roman" w:eastAsia="宋体"/>
                <w:snapToGrid w:val="0"/>
                <w:color w:val="auto"/>
                <w:kern w:val="21"/>
                <w:sz w:val="20"/>
                <w:szCs w:val="20"/>
                <w:highlight w:val="none"/>
                <w:lang w:eastAsia="zh-CN"/>
              </w:rPr>
            </w:pPr>
            <w:r>
              <w:rPr>
                <w:rFonts w:hint="eastAsia" w:ascii="Times New Roman" w:hAnsi="Times New Roman" w:cs="Times New Roman"/>
                <w:color w:val="auto"/>
                <w:sz w:val="20"/>
                <w:szCs w:val="20"/>
                <w:vertAlign w:val="baseline"/>
                <w:lang w:val="en-US" w:eastAsia="zh-CN"/>
              </w:rPr>
              <w:t>实验室废料</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ascii="Times New Roman"/>
                <w:snapToGrid w:val="0"/>
                <w:color w:val="auto"/>
                <w:kern w:val="21"/>
                <w:sz w:val="20"/>
                <w:szCs w:val="20"/>
                <w:highlight w:val="none"/>
              </w:rPr>
            </w:pPr>
          </w:p>
        </w:tc>
        <w:tc>
          <w:tcPr>
            <w:tcW w:w="1276" w:type="dxa"/>
            <w:vAlign w:val="center"/>
          </w:tcPr>
          <w:p>
            <w:pPr>
              <w:bidi w:val="0"/>
              <w:ind w:firstLine="0" w:firstLineChars="0"/>
              <w:rPr>
                <w:rFonts w:ascii="Times New Roman"/>
                <w:snapToGrid w:val="0"/>
                <w:color w:val="auto"/>
                <w:kern w:val="21"/>
                <w:sz w:val="20"/>
                <w:szCs w:val="20"/>
                <w:highlight w:val="none"/>
              </w:rPr>
            </w:pPr>
          </w:p>
        </w:tc>
        <w:tc>
          <w:tcPr>
            <w:tcW w:w="1701" w:type="dxa"/>
            <w:vAlign w:val="center"/>
          </w:tcPr>
          <w:p>
            <w:pPr>
              <w:bidi w:val="0"/>
              <w:ind w:firstLine="0" w:firstLineChars="0"/>
              <w:rPr>
                <w:rFonts w:ascii="Times New Roman"/>
                <w:snapToGrid w:val="0"/>
                <w:color w:val="auto"/>
                <w:kern w:val="21"/>
                <w:sz w:val="20"/>
                <w:szCs w:val="20"/>
                <w:highlight w:val="none"/>
              </w:rPr>
            </w:pPr>
          </w:p>
        </w:tc>
        <w:tc>
          <w:tcPr>
            <w:tcW w:w="1559"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eastAsia="宋体"/>
                <w:snapToGrid w:val="0"/>
                <w:color w:val="auto"/>
                <w:kern w:val="21"/>
                <w:sz w:val="20"/>
                <w:szCs w:val="20"/>
                <w:highlight w:val="yellow"/>
                <w:lang w:val="en-US" w:eastAsia="zh-CN"/>
              </w:rPr>
            </w:pPr>
            <w:r>
              <w:rPr>
                <w:rFonts w:hint="eastAsia" w:ascii="Times New Roman" w:hAnsi="Times New Roman" w:cs="Times New Roman"/>
                <w:color w:val="auto"/>
                <w:sz w:val="20"/>
                <w:szCs w:val="20"/>
                <w:vertAlign w:val="baseline"/>
                <w:lang w:val="en-US" w:eastAsia="zh-CN"/>
              </w:rPr>
              <w:t>298.5</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521" w:type="dxa"/>
            <w:vAlign w:val="center"/>
          </w:tcPr>
          <w:p>
            <w:pPr>
              <w:pStyle w:val="174"/>
              <w:bidi w:val="0"/>
              <w:ind w:firstLine="0" w:firstLineChars="0"/>
              <w:rPr>
                <w:rFonts w:ascii="Times New Roman"/>
                <w:snapToGrid w:val="0"/>
                <w:color w:val="auto"/>
                <w:kern w:val="21"/>
                <w:sz w:val="20"/>
                <w:szCs w:val="20"/>
                <w:highlight w:val="yellow"/>
              </w:rPr>
            </w:pPr>
          </w:p>
        </w:tc>
        <w:tc>
          <w:tcPr>
            <w:tcW w:w="1701"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eastAsia="宋体"/>
                <w:snapToGrid w:val="0"/>
                <w:color w:val="auto"/>
                <w:kern w:val="21"/>
                <w:sz w:val="20"/>
                <w:szCs w:val="20"/>
                <w:highlight w:val="yellow"/>
                <w:lang w:val="en-US" w:eastAsia="zh-CN"/>
              </w:rPr>
            </w:pPr>
            <w:r>
              <w:rPr>
                <w:rFonts w:hint="eastAsia" w:ascii="Times New Roman" w:hAnsi="Times New Roman" w:cs="Times New Roman"/>
                <w:color w:val="auto"/>
                <w:sz w:val="20"/>
                <w:szCs w:val="20"/>
                <w:vertAlign w:val="baseline"/>
                <w:lang w:val="en-US" w:eastAsia="zh-CN"/>
              </w:rPr>
              <w:t>298.5</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324"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eastAsia="宋体"/>
                <w:snapToGrid w:val="0"/>
                <w:color w:val="auto"/>
                <w:kern w:val="21"/>
                <w:sz w:val="20"/>
                <w:szCs w:val="20"/>
                <w:highlight w:val="yellow"/>
                <w:lang w:val="en-US" w:eastAsia="zh-CN"/>
              </w:rPr>
            </w:pPr>
            <w:r>
              <w:rPr>
                <w:rFonts w:hint="eastAsia" w:ascii="Times New Roman" w:hAnsi="Times New Roman" w:cs="Times New Roman"/>
                <w:color w:val="auto"/>
                <w:sz w:val="20"/>
                <w:szCs w:val="20"/>
                <w:vertAlign w:val="baseline"/>
                <w:lang w:val="en-US" w:eastAsia="zh-CN"/>
              </w:rPr>
              <w:t>298.5</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63"/>
              <w:spacing w:beforeLines="0" w:afterLines="0" w:line="240" w:lineRule="auto"/>
              <w:rPr>
                <w:rFonts w:ascii="Times New Roman"/>
                <w:snapToGrid w:val="0"/>
                <w:color w:val="auto"/>
                <w:kern w:val="21"/>
                <w:sz w:val="20"/>
                <w:szCs w:val="20"/>
                <w:highlight w:val="none"/>
              </w:rPr>
            </w:pPr>
          </w:p>
        </w:tc>
        <w:tc>
          <w:tcPr>
            <w:tcW w:w="1417"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ascii="Times New Roman" w:eastAsia="宋体"/>
                <w:snapToGrid w:val="0"/>
                <w:color w:val="auto"/>
                <w:kern w:val="21"/>
                <w:sz w:val="20"/>
                <w:szCs w:val="20"/>
                <w:highlight w:val="none"/>
                <w:lang w:val="en-US" w:eastAsia="zh-CN"/>
              </w:rPr>
            </w:pPr>
            <w:r>
              <w:rPr>
                <w:rFonts w:hint="default" w:ascii="Times New Roman" w:hAnsi="Times New Roman" w:eastAsia="宋体" w:cs="Times New Roman"/>
                <w:color w:val="auto"/>
                <w:sz w:val="20"/>
                <w:szCs w:val="20"/>
                <w:vertAlign w:val="baseline"/>
                <w:lang w:val="en-US" w:eastAsia="zh-CN"/>
              </w:rPr>
              <w:t>布袋收集器收集粉尘</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ascii="Times New Roman"/>
                <w:snapToGrid w:val="0"/>
                <w:color w:val="auto"/>
                <w:kern w:val="21"/>
                <w:sz w:val="20"/>
                <w:szCs w:val="20"/>
                <w:highlight w:val="none"/>
              </w:rPr>
            </w:pPr>
          </w:p>
        </w:tc>
        <w:tc>
          <w:tcPr>
            <w:tcW w:w="1276" w:type="dxa"/>
            <w:vAlign w:val="center"/>
          </w:tcPr>
          <w:p>
            <w:pPr>
              <w:bidi w:val="0"/>
              <w:ind w:firstLine="0" w:firstLineChars="0"/>
              <w:rPr>
                <w:rFonts w:ascii="Times New Roman"/>
                <w:snapToGrid w:val="0"/>
                <w:color w:val="auto"/>
                <w:kern w:val="21"/>
                <w:sz w:val="20"/>
                <w:szCs w:val="20"/>
                <w:highlight w:val="none"/>
              </w:rPr>
            </w:pPr>
          </w:p>
        </w:tc>
        <w:tc>
          <w:tcPr>
            <w:tcW w:w="1701" w:type="dxa"/>
            <w:vAlign w:val="center"/>
          </w:tcPr>
          <w:p>
            <w:pPr>
              <w:bidi w:val="0"/>
              <w:ind w:firstLine="0" w:firstLineChars="0"/>
              <w:rPr>
                <w:rFonts w:ascii="Times New Roman"/>
                <w:snapToGrid w:val="0"/>
                <w:color w:val="auto"/>
                <w:kern w:val="21"/>
                <w:sz w:val="20"/>
                <w:szCs w:val="20"/>
                <w:highlight w:val="none"/>
              </w:rPr>
            </w:pPr>
          </w:p>
        </w:tc>
        <w:tc>
          <w:tcPr>
            <w:tcW w:w="1559"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snapToGrid w:val="0"/>
                <w:color w:val="auto"/>
                <w:kern w:val="21"/>
                <w:sz w:val="20"/>
                <w:szCs w:val="20"/>
                <w:highlight w:val="yellow"/>
              </w:rPr>
            </w:pPr>
            <w:r>
              <w:rPr>
                <w:rFonts w:hint="eastAsia" w:ascii="Times New Roman" w:hAnsi="Times New Roman" w:cs="Times New Roman"/>
                <w:color w:val="auto"/>
                <w:sz w:val="20"/>
                <w:szCs w:val="20"/>
                <w:vertAlign w:val="baseline"/>
                <w:lang w:val="en-US" w:eastAsia="zh-CN"/>
              </w:rPr>
              <w:t>5.9</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521" w:type="dxa"/>
            <w:vAlign w:val="center"/>
          </w:tcPr>
          <w:p>
            <w:pPr>
              <w:pStyle w:val="174"/>
              <w:bidi w:val="0"/>
              <w:ind w:firstLine="0" w:firstLineChars="0"/>
              <w:rPr>
                <w:rFonts w:ascii="Times New Roman"/>
                <w:snapToGrid w:val="0"/>
                <w:color w:val="auto"/>
                <w:kern w:val="21"/>
                <w:sz w:val="20"/>
                <w:szCs w:val="20"/>
                <w:highlight w:val="yellow"/>
              </w:rPr>
            </w:pPr>
          </w:p>
        </w:tc>
        <w:tc>
          <w:tcPr>
            <w:tcW w:w="1701"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snapToGrid w:val="0"/>
                <w:color w:val="auto"/>
                <w:kern w:val="21"/>
                <w:sz w:val="20"/>
                <w:szCs w:val="20"/>
                <w:highlight w:val="yellow"/>
              </w:rPr>
            </w:pPr>
            <w:r>
              <w:rPr>
                <w:rFonts w:hint="eastAsia" w:ascii="Times New Roman" w:hAnsi="Times New Roman" w:cs="Times New Roman"/>
                <w:color w:val="auto"/>
                <w:sz w:val="20"/>
                <w:szCs w:val="20"/>
                <w:vertAlign w:val="baseline"/>
                <w:lang w:val="en-US" w:eastAsia="zh-CN"/>
              </w:rPr>
              <w:t>5.9</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324"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snapToGrid w:val="0"/>
                <w:color w:val="auto"/>
                <w:kern w:val="21"/>
                <w:sz w:val="20"/>
                <w:szCs w:val="20"/>
                <w:highlight w:val="yellow"/>
              </w:rPr>
            </w:pPr>
            <w:r>
              <w:rPr>
                <w:rFonts w:hint="eastAsia" w:ascii="Times New Roman" w:hAnsi="Times New Roman" w:cs="Times New Roman"/>
                <w:color w:val="auto"/>
                <w:sz w:val="20"/>
                <w:szCs w:val="20"/>
                <w:vertAlign w:val="baseline"/>
                <w:lang w:val="en-US" w:eastAsia="zh-CN"/>
              </w:rPr>
              <w:t>5.9</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63"/>
              <w:spacing w:beforeLines="0" w:afterLines="0" w:line="240" w:lineRule="auto"/>
              <w:rPr>
                <w:rFonts w:ascii="Times New Roman"/>
                <w:snapToGrid w:val="0"/>
                <w:color w:val="auto"/>
                <w:kern w:val="21"/>
                <w:sz w:val="20"/>
                <w:szCs w:val="20"/>
                <w:highlight w:val="none"/>
              </w:rPr>
            </w:pPr>
          </w:p>
        </w:tc>
        <w:tc>
          <w:tcPr>
            <w:tcW w:w="1417"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ascii="Times New Roman" w:eastAsia="宋体"/>
                <w:snapToGrid w:val="0"/>
                <w:color w:val="auto"/>
                <w:sz w:val="20"/>
                <w:szCs w:val="20"/>
                <w:highlight w:val="none"/>
                <w:lang w:eastAsia="zh-CN"/>
              </w:rPr>
            </w:pPr>
            <w:r>
              <w:rPr>
                <w:rFonts w:hint="eastAsia" w:ascii="Times New Roman" w:hAnsi="Times New Roman" w:cs="Times New Roman"/>
                <w:color w:val="auto"/>
                <w:sz w:val="20"/>
                <w:szCs w:val="20"/>
                <w:vertAlign w:val="baseline"/>
                <w:lang w:val="en-US" w:eastAsia="zh-CN"/>
              </w:rPr>
              <w:t>沉淀池沉渣</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ascii="Times New Roman"/>
                <w:snapToGrid w:val="0"/>
                <w:color w:val="auto"/>
                <w:kern w:val="21"/>
                <w:sz w:val="20"/>
                <w:szCs w:val="20"/>
                <w:highlight w:val="none"/>
              </w:rPr>
            </w:pPr>
          </w:p>
        </w:tc>
        <w:tc>
          <w:tcPr>
            <w:tcW w:w="1276" w:type="dxa"/>
            <w:vAlign w:val="center"/>
          </w:tcPr>
          <w:p>
            <w:pPr>
              <w:bidi w:val="0"/>
              <w:ind w:firstLine="0" w:firstLineChars="0"/>
              <w:rPr>
                <w:rFonts w:ascii="Times New Roman"/>
                <w:snapToGrid w:val="0"/>
                <w:color w:val="auto"/>
                <w:kern w:val="21"/>
                <w:sz w:val="20"/>
                <w:szCs w:val="20"/>
                <w:highlight w:val="none"/>
              </w:rPr>
            </w:pPr>
          </w:p>
        </w:tc>
        <w:tc>
          <w:tcPr>
            <w:tcW w:w="1701" w:type="dxa"/>
            <w:vAlign w:val="center"/>
          </w:tcPr>
          <w:p>
            <w:pPr>
              <w:bidi w:val="0"/>
              <w:ind w:firstLine="0" w:firstLineChars="0"/>
              <w:rPr>
                <w:rFonts w:ascii="Times New Roman"/>
                <w:snapToGrid w:val="0"/>
                <w:color w:val="auto"/>
                <w:kern w:val="21"/>
                <w:sz w:val="20"/>
                <w:szCs w:val="20"/>
                <w:highlight w:val="none"/>
              </w:rPr>
            </w:pPr>
          </w:p>
        </w:tc>
        <w:tc>
          <w:tcPr>
            <w:tcW w:w="1559"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snapToGrid w:val="0"/>
                <w:color w:val="auto"/>
                <w:kern w:val="21"/>
                <w:sz w:val="20"/>
                <w:szCs w:val="20"/>
                <w:highlight w:val="yellow"/>
                <w:lang w:val="en-US" w:eastAsia="zh-CN"/>
              </w:rPr>
            </w:pPr>
            <w:r>
              <w:rPr>
                <w:rFonts w:hint="eastAsia" w:ascii="Times New Roman" w:hAnsi="Times New Roman" w:cs="Times New Roman"/>
                <w:color w:val="auto"/>
                <w:sz w:val="20"/>
                <w:szCs w:val="20"/>
                <w:vertAlign w:val="baseline"/>
                <w:lang w:val="en-US" w:eastAsia="zh-CN"/>
              </w:rPr>
              <w:t>10</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521" w:type="dxa"/>
            <w:vAlign w:val="center"/>
          </w:tcPr>
          <w:p>
            <w:pPr>
              <w:pStyle w:val="174"/>
              <w:bidi w:val="0"/>
              <w:ind w:firstLine="0" w:firstLineChars="0"/>
              <w:rPr>
                <w:rFonts w:ascii="Times New Roman"/>
                <w:snapToGrid w:val="0"/>
                <w:color w:val="auto"/>
                <w:kern w:val="21"/>
                <w:sz w:val="20"/>
                <w:szCs w:val="20"/>
                <w:highlight w:val="yellow"/>
              </w:rPr>
            </w:pP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snapToGrid w:val="0"/>
                <w:color w:val="auto"/>
                <w:kern w:val="21"/>
                <w:sz w:val="20"/>
                <w:szCs w:val="20"/>
                <w:highlight w:val="yellow"/>
                <w:lang w:val="en-US" w:eastAsia="zh-CN"/>
              </w:rPr>
            </w:pPr>
            <w:r>
              <w:rPr>
                <w:rFonts w:hint="eastAsia" w:cs="Times New Roman"/>
                <w:color w:val="auto"/>
                <w:sz w:val="20"/>
                <w:szCs w:val="20"/>
                <w:vertAlign w:val="baseline"/>
                <w:lang w:val="en-US" w:eastAsia="zh-CN"/>
              </w:rPr>
              <w:t>10</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324" w:type="dxa"/>
            <w:vAlign w:val="center"/>
          </w:tcPr>
          <w:p>
            <w:pPr>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snapToGrid w:val="0"/>
                <w:color w:val="auto"/>
                <w:kern w:val="21"/>
                <w:sz w:val="20"/>
                <w:szCs w:val="20"/>
                <w:highlight w:val="yellow"/>
                <w:lang w:val="en-US" w:eastAsia="zh-CN"/>
              </w:rPr>
            </w:pPr>
            <w:r>
              <w:rPr>
                <w:rFonts w:hint="eastAsia" w:cs="Times New Roman"/>
                <w:color w:val="auto"/>
                <w:sz w:val="20"/>
                <w:szCs w:val="20"/>
                <w:vertAlign w:val="baseline"/>
                <w:lang w:val="en-US" w:eastAsia="zh-CN"/>
              </w:rPr>
              <w:t>10</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63"/>
              <w:spacing w:beforeLines="0" w:afterLines="0" w:line="240" w:lineRule="auto"/>
              <w:rPr>
                <w:rFonts w:ascii="Times New Roman"/>
                <w:snapToGrid w:val="0"/>
                <w:color w:val="auto"/>
                <w:kern w:val="21"/>
                <w:sz w:val="20"/>
                <w:szCs w:val="20"/>
                <w:highlight w:val="none"/>
              </w:rPr>
            </w:pPr>
          </w:p>
        </w:tc>
        <w:tc>
          <w:tcPr>
            <w:tcW w:w="1417"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snapToGrid w:val="0"/>
                <w:color w:val="auto"/>
                <w:sz w:val="20"/>
                <w:szCs w:val="20"/>
                <w:highlight w:val="none"/>
                <w:lang w:eastAsia="zh-CN"/>
              </w:rPr>
            </w:pPr>
            <w:r>
              <w:rPr>
                <w:rFonts w:hint="default" w:ascii="Times New Roman" w:hAnsi="Times New Roman" w:eastAsia="宋体" w:cs="Times New Roman"/>
                <w:color w:val="auto"/>
                <w:sz w:val="20"/>
                <w:szCs w:val="20"/>
                <w:vertAlign w:val="baseline"/>
                <w:lang w:val="en-US" w:eastAsia="zh-CN"/>
              </w:rPr>
              <w:t>废布袋</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ascii="Times New Roman"/>
                <w:snapToGrid w:val="0"/>
                <w:color w:val="auto"/>
                <w:kern w:val="21"/>
                <w:sz w:val="20"/>
                <w:szCs w:val="20"/>
                <w:highlight w:val="none"/>
              </w:rPr>
            </w:pPr>
          </w:p>
        </w:tc>
        <w:tc>
          <w:tcPr>
            <w:tcW w:w="1276" w:type="dxa"/>
            <w:vAlign w:val="center"/>
          </w:tcPr>
          <w:p>
            <w:pPr>
              <w:bidi w:val="0"/>
              <w:ind w:firstLine="0" w:firstLineChars="0"/>
              <w:rPr>
                <w:rFonts w:ascii="Times New Roman"/>
                <w:snapToGrid w:val="0"/>
                <w:color w:val="auto"/>
                <w:kern w:val="21"/>
                <w:sz w:val="20"/>
                <w:szCs w:val="20"/>
                <w:highlight w:val="none"/>
              </w:rPr>
            </w:pPr>
          </w:p>
        </w:tc>
        <w:tc>
          <w:tcPr>
            <w:tcW w:w="1701" w:type="dxa"/>
            <w:vAlign w:val="center"/>
          </w:tcPr>
          <w:p>
            <w:pPr>
              <w:bidi w:val="0"/>
              <w:ind w:firstLine="0" w:firstLineChars="0"/>
              <w:rPr>
                <w:rFonts w:ascii="Times New Roman"/>
                <w:snapToGrid w:val="0"/>
                <w:color w:val="auto"/>
                <w:kern w:val="21"/>
                <w:sz w:val="20"/>
                <w:szCs w:val="20"/>
                <w:highlight w:val="none"/>
              </w:rPr>
            </w:pPr>
          </w:p>
        </w:tc>
        <w:tc>
          <w:tcPr>
            <w:tcW w:w="1559"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snapToGrid w:val="0"/>
                <w:color w:val="auto"/>
                <w:kern w:val="21"/>
                <w:sz w:val="20"/>
                <w:szCs w:val="20"/>
                <w:highlight w:val="yellow"/>
                <w:lang w:val="en-US" w:eastAsia="zh-CN"/>
              </w:rPr>
            </w:pPr>
            <w:r>
              <w:rPr>
                <w:rFonts w:hint="default" w:ascii="Times New Roman" w:hAnsi="Times New Roman" w:cs="Times New Roman"/>
                <w:color w:val="auto"/>
                <w:sz w:val="20"/>
                <w:szCs w:val="20"/>
                <w:vertAlign w:val="baseline"/>
                <w:lang w:val="en-US" w:eastAsia="zh-CN"/>
              </w:rPr>
              <w:t>0</w:t>
            </w: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1</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521" w:type="dxa"/>
            <w:vAlign w:val="center"/>
          </w:tcPr>
          <w:p>
            <w:pPr>
              <w:pStyle w:val="174"/>
              <w:bidi w:val="0"/>
              <w:ind w:firstLine="0" w:firstLineChars="0"/>
              <w:rPr>
                <w:rFonts w:ascii="Times New Roman"/>
                <w:snapToGrid w:val="0"/>
                <w:color w:val="auto"/>
                <w:kern w:val="21"/>
                <w:sz w:val="20"/>
                <w:szCs w:val="20"/>
                <w:highlight w:val="yellow"/>
              </w:rPr>
            </w:pPr>
          </w:p>
        </w:tc>
        <w:tc>
          <w:tcPr>
            <w:tcW w:w="1701"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snapToGrid w:val="0"/>
                <w:color w:val="auto"/>
                <w:kern w:val="21"/>
                <w:sz w:val="20"/>
                <w:szCs w:val="20"/>
                <w:highlight w:val="yellow"/>
                <w:lang w:val="en-US" w:eastAsia="zh-CN"/>
              </w:rPr>
            </w:pPr>
            <w:r>
              <w:rPr>
                <w:rFonts w:hint="default" w:ascii="Times New Roman" w:hAnsi="Times New Roman" w:cs="Times New Roman"/>
                <w:color w:val="auto"/>
                <w:sz w:val="20"/>
                <w:szCs w:val="20"/>
                <w:vertAlign w:val="baseline"/>
                <w:lang w:val="en-US" w:eastAsia="zh-CN"/>
              </w:rPr>
              <w:t>0</w:t>
            </w: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1</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324"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eastAsia"/>
                <w:snapToGrid w:val="0"/>
                <w:color w:val="auto"/>
                <w:kern w:val="21"/>
                <w:sz w:val="20"/>
                <w:szCs w:val="20"/>
                <w:highlight w:val="yellow"/>
                <w:lang w:val="en-US" w:eastAsia="zh-CN"/>
              </w:rPr>
            </w:pPr>
            <w:r>
              <w:rPr>
                <w:rFonts w:hint="default" w:ascii="Times New Roman" w:hAnsi="Times New Roman" w:cs="Times New Roman"/>
                <w:color w:val="auto"/>
                <w:sz w:val="20"/>
                <w:szCs w:val="20"/>
                <w:vertAlign w:val="baseline"/>
                <w:lang w:val="en-US" w:eastAsia="zh-CN"/>
              </w:rPr>
              <w:t>0</w:t>
            </w:r>
            <w:r>
              <w:rPr>
                <w:rFonts w:hint="eastAsia" w:ascii="Times New Roman" w:hAnsi="Times New Roman" w:cs="Times New Roman"/>
                <w:color w:val="auto"/>
                <w:sz w:val="20"/>
                <w:szCs w:val="20"/>
                <w:vertAlign w:val="baseline"/>
                <w:lang w:val="en-US" w:eastAsia="zh-CN"/>
              </w:rPr>
              <w:t>.</w:t>
            </w:r>
            <w:r>
              <w:rPr>
                <w:rFonts w:hint="default" w:ascii="Times New Roman" w:hAnsi="Times New Roman" w:cs="Times New Roman"/>
                <w:color w:val="auto"/>
                <w:sz w:val="20"/>
                <w:szCs w:val="20"/>
                <w:vertAlign w:val="baseline"/>
                <w:lang w:val="en-US" w:eastAsia="zh-CN"/>
              </w:rPr>
              <w:t>1</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63"/>
              <w:spacing w:beforeLines="0" w:afterLines="0" w:line="240" w:lineRule="auto"/>
              <w:rPr>
                <w:rFonts w:ascii="Times New Roman"/>
                <w:snapToGrid w:val="0"/>
                <w:color w:val="auto"/>
                <w:kern w:val="21"/>
                <w:sz w:val="20"/>
                <w:szCs w:val="20"/>
                <w:highlight w:val="none"/>
              </w:rPr>
            </w:pPr>
          </w:p>
        </w:tc>
        <w:tc>
          <w:tcPr>
            <w:tcW w:w="1417"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eastAsia="宋体"/>
                <w:snapToGrid w:val="0"/>
                <w:color w:val="auto"/>
                <w:sz w:val="20"/>
                <w:szCs w:val="20"/>
                <w:highlight w:val="none"/>
                <w:lang w:val="en-US" w:eastAsia="zh-CN"/>
              </w:rPr>
            </w:pPr>
            <w:r>
              <w:rPr>
                <w:rFonts w:hint="default" w:ascii="Times New Roman" w:hAnsi="Times New Roman" w:eastAsia="宋体" w:cs="Times New Roman"/>
                <w:color w:val="auto"/>
                <w:sz w:val="20"/>
                <w:szCs w:val="20"/>
                <w:vertAlign w:val="baseline"/>
                <w:lang w:val="en-US" w:eastAsia="zh-CN"/>
              </w:rPr>
              <w:t>生活垃圾</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ascii="Times New Roman"/>
                <w:snapToGrid w:val="0"/>
                <w:color w:val="auto"/>
                <w:kern w:val="21"/>
                <w:sz w:val="20"/>
                <w:szCs w:val="20"/>
                <w:highlight w:val="none"/>
              </w:rPr>
            </w:pPr>
          </w:p>
        </w:tc>
        <w:tc>
          <w:tcPr>
            <w:tcW w:w="1276" w:type="dxa"/>
            <w:vAlign w:val="center"/>
          </w:tcPr>
          <w:p>
            <w:pPr>
              <w:bidi w:val="0"/>
              <w:ind w:firstLine="0" w:firstLineChars="0"/>
              <w:rPr>
                <w:rFonts w:ascii="Times New Roman"/>
                <w:snapToGrid w:val="0"/>
                <w:color w:val="auto"/>
                <w:kern w:val="21"/>
                <w:sz w:val="20"/>
                <w:szCs w:val="20"/>
                <w:highlight w:val="none"/>
              </w:rPr>
            </w:pPr>
          </w:p>
        </w:tc>
        <w:tc>
          <w:tcPr>
            <w:tcW w:w="1701" w:type="dxa"/>
            <w:vAlign w:val="center"/>
          </w:tcPr>
          <w:p>
            <w:pPr>
              <w:bidi w:val="0"/>
              <w:ind w:firstLine="0" w:firstLineChars="0"/>
              <w:rPr>
                <w:rFonts w:ascii="Times New Roman"/>
                <w:snapToGrid w:val="0"/>
                <w:color w:val="auto"/>
                <w:kern w:val="21"/>
                <w:sz w:val="20"/>
                <w:szCs w:val="20"/>
                <w:highlight w:val="none"/>
              </w:rPr>
            </w:pPr>
          </w:p>
        </w:tc>
        <w:tc>
          <w:tcPr>
            <w:tcW w:w="1559"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snapToGrid w:val="0"/>
                <w:color w:val="auto"/>
                <w:kern w:val="21"/>
                <w:sz w:val="20"/>
                <w:szCs w:val="20"/>
                <w:highlight w:val="yellow"/>
              </w:rPr>
            </w:pPr>
            <w:r>
              <w:rPr>
                <w:rFonts w:hint="eastAsia" w:ascii="Times New Roman" w:hAnsi="Times New Roman" w:cs="Times New Roman"/>
                <w:color w:val="auto"/>
                <w:sz w:val="20"/>
                <w:szCs w:val="20"/>
                <w:vertAlign w:val="baseline"/>
                <w:lang w:val="en-US" w:eastAsia="zh-CN"/>
              </w:rPr>
              <w:t>0.5</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521" w:type="dxa"/>
            <w:vAlign w:val="center"/>
          </w:tcPr>
          <w:p>
            <w:pPr>
              <w:pStyle w:val="174"/>
              <w:bidi w:val="0"/>
              <w:ind w:firstLine="0" w:firstLineChars="0"/>
              <w:rPr>
                <w:rFonts w:ascii="Times New Roman"/>
                <w:snapToGrid w:val="0"/>
                <w:color w:val="auto"/>
                <w:kern w:val="21"/>
                <w:sz w:val="20"/>
                <w:szCs w:val="20"/>
                <w:highlight w:val="yellow"/>
              </w:rPr>
            </w:pPr>
          </w:p>
        </w:tc>
        <w:tc>
          <w:tcPr>
            <w:tcW w:w="1701"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snapToGrid w:val="0"/>
                <w:color w:val="auto"/>
                <w:kern w:val="21"/>
                <w:sz w:val="20"/>
                <w:szCs w:val="20"/>
                <w:highlight w:val="yellow"/>
              </w:rPr>
            </w:pPr>
            <w:r>
              <w:rPr>
                <w:rFonts w:hint="eastAsia" w:ascii="Times New Roman" w:hAnsi="Times New Roman" w:cs="Times New Roman"/>
                <w:color w:val="auto"/>
                <w:sz w:val="20"/>
                <w:szCs w:val="20"/>
                <w:vertAlign w:val="baseline"/>
                <w:lang w:val="en-US" w:eastAsia="zh-CN"/>
              </w:rPr>
              <w:t>0.5</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c>
          <w:tcPr>
            <w:tcW w:w="1324" w:type="dxa"/>
            <w:vAlign w:val="center"/>
          </w:tcPr>
          <w:p>
            <w:pPr>
              <w:pStyle w:val="165"/>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snapToGrid w:val="0"/>
                <w:color w:val="auto"/>
                <w:kern w:val="21"/>
                <w:sz w:val="20"/>
                <w:szCs w:val="20"/>
                <w:highlight w:val="yellow"/>
              </w:rPr>
            </w:pPr>
            <w:r>
              <w:rPr>
                <w:rFonts w:hint="eastAsia" w:ascii="Times New Roman" w:hAnsi="Times New Roman" w:cs="Times New Roman"/>
                <w:color w:val="auto"/>
                <w:sz w:val="20"/>
                <w:szCs w:val="20"/>
                <w:vertAlign w:val="baseline"/>
                <w:lang w:val="en-US" w:eastAsia="zh-CN"/>
              </w:rPr>
              <w:t>0.5</w:t>
            </w:r>
            <w:r>
              <w:rPr>
                <w:rFonts w:hint="default" w:ascii="Times New Roman" w:hAnsi="Times New Roman" w:eastAsia="宋体" w:cs="Times New Roman"/>
                <w:color w:val="auto"/>
                <w:sz w:val="20"/>
                <w:szCs w:val="20"/>
                <w:highlight w:val="none"/>
                <w:lang w:val="en-US" w:eastAsia="zh-CN"/>
              </w:rPr>
              <w:t>t</w:t>
            </w:r>
            <w:r>
              <w:rPr>
                <w:rFonts w:hint="eastAsia" w:ascii="Times New Roman" w:hAnsi="Times New Roman" w:eastAsia="宋体" w:cs="Times New Roman"/>
                <w:color w:val="auto"/>
                <w:sz w:val="20"/>
                <w:szCs w:val="20"/>
                <w:highlight w:val="none"/>
                <w:lang w:val="en-US" w:eastAsia="zh-CN"/>
              </w:rPr>
              <w:t>/</w:t>
            </w:r>
            <w:r>
              <w:rPr>
                <w:rFonts w:hint="default" w:ascii="Times New Roman" w:hAnsi="Times New Roman" w:eastAsia="宋体" w:cs="Times New Roman"/>
                <w:color w:val="auto"/>
                <w:sz w:val="20"/>
                <w:szCs w:val="20"/>
                <w:highlight w:val="none"/>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63"/>
              <w:spacing w:beforeLines="0" w:afterLines="0" w:line="240" w:lineRule="auto"/>
              <w:rPr>
                <w:rFonts w:ascii="Times New Roman"/>
                <w:snapToGrid w:val="0"/>
                <w:color w:val="auto"/>
                <w:kern w:val="21"/>
                <w:sz w:val="20"/>
                <w:szCs w:val="20"/>
                <w:highlight w:val="none"/>
              </w:rPr>
            </w:pPr>
          </w:p>
        </w:tc>
        <w:tc>
          <w:tcPr>
            <w:tcW w:w="1417" w:type="dxa"/>
            <w:vAlign w:val="center"/>
          </w:tcPr>
          <w:p>
            <w:pPr>
              <w:pStyle w:val="174"/>
              <w:bidi w:val="0"/>
              <w:ind w:firstLine="0" w:firstLineChars="0"/>
              <w:rPr>
                <w:rFonts w:ascii="Times New Roman"/>
                <w:snapToGrid w:val="0"/>
                <w:color w:val="auto"/>
                <w:sz w:val="20"/>
                <w:szCs w:val="20"/>
                <w:highlight w:val="none"/>
              </w:rPr>
            </w:pPr>
          </w:p>
        </w:tc>
        <w:tc>
          <w:tcPr>
            <w:tcW w:w="1701" w:type="dxa"/>
            <w:vAlign w:val="center"/>
          </w:tcPr>
          <w:p>
            <w:pPr>
              <w:pStyle w:val="174"/>
              <w:bidi w:val="0"/>
              <w:ind w:firstLine="0" w:firstLineChars="0"/>
              <w:rPr>
                <w:rFonts w:ascii="Times New Roman"/>
                <w:snapToGrid w:val="0"/>
                <w:color w:val="auto"/>
                <w:kern w:val="21"/>
                <w:sz w:val="20"/>
                <w:szCs w:val="20"/>
                <w:highlight w:val="none"/>
              </w:rPr>
            </w:pPr>
          </w:p>
        </w:tc>
        <w:tc>
          <w:tcPr>
            <w:tcW w:w="1276" w:type="dxa"/>
            <w:vAlign w:val="center"/>
          </w:tcPr>
          <w:p>
            <w:pPr>
              <w:pStyle w:val="174"/>
              <w:bidi w:val="0"/>
              <w:ind w:firstLine="0" w:firstLineChars="0"/>
              <w:rPr>
                <w:rFonts w:ascii="Times New Roman"/>
                <w:snapToGrid w:val="0"/>
                <w:color w:val="auto"/>
                <w:kern w:val="21"/>
                <w:sz w:val="20"/>
                <w:szCs w:val="20"/>
                <w:highlight w:val="none"/>
              </w:rPr>
            </w:pPr>
          </w:p>
        </w:tc>
        <w:tc>
          <w:tcPr>
            <w:tcW w:w="1701" w:type="dxa"/>
            <w:vAlign w:val="center"/>
          </w:tcPr>
          <w:p>
            <w:pPr>
              <w:pStyle w:val="174"/>
              <w:bidi w:val="0"/>
              <w:ind w:firstLine="0" w:firstLineChars="0"/>
              <w:rPr>
                <w:rFonts w:ascii="Times New Roman"/>
                <w:snapToGrid w:val="0"/>
                <w:color w:val="auto"/>
                <w:kern w:val="21"/>
                <w:sz w:val="20"/>
                <w:szCs w:val="20"/>
                <w:highlight w:val="none"/>
              </w:rPr>
            </w:pPr>
          </w:p>
        </w:tc>
        <w:tc>
          <w:tcPr>
            <w:tcW w:w="1559" w:type="dxa"/>
            <w:vAlign w:val="center"/>
          </w:tcPr>
          <w:p>
            <w:pPr>
              <w:pStyle w:val="174"/>
              <w:bidi w:val="0"/>
              <w:ind w:firstLine="0" w:firstLineChars="0"/>
              <w:rPr>
                <w:snapToGrid w:val="0"/>
                <w:color w:val="auto"/>
                <w:kern w:val="21"/>
                <w:sz w:val="20"/>
                <w:szCs w:val="20"/>
                <w:highlight w:val="yellow"/>
              </w:rPr>
            </w:pPr>
          </w:p>
        </w:tc>
        <w:tc>
          <w:tcPr>
            <w:tcW w:w="1521" w:type="dxa"/>
            <w:vAlign w:val="center"/>
          </w:tcPr>
          <w:p>
            <w:pPr>
              <w:pStyle w:val="174"/>
              <w:bidi w:val="0"/>
              <w:ind w:firstLine="0" w:firstLineChars="0"/>
              <w:rPr>
                <w:rFonts w:ascii="Times New Roman"/>
                <w:snapToGrid w:val="0"/>
                <w:color w:val="auto"/>
                <w:kern w:val="21"/>
                <w:sz w:val="20"/>
                <w:szCs w:val="20"/>
                <w:highlight w:val="yellow"/>
              </w:rPr>
            </w:pPr>
          </w:p>
        </w:tc>
        <w:tc>
          <w:tcPr>
            <w:tcW w:w="1701" w:type="dxa"/>
            <w:vAlign w:val="center"/>
          </w:tcPr>
          <w:p>
            <w:pPr>
              <w:pStyle w:val="174"/>
              <w:bidi w:val="0"/>
              <w:ind w:firstLine="0" w:firstLineChars="0"/>
              <w:rPr>
                <w:snapToGrid w:val="0"/>
                <w:color w:val="auto"/>
                <w:kern w:val="21"/>
                <w:sz w:val="20"/>
                <w:szCs w:val="20"/>
                <w:highlight w:val="yellow"/>
              </w:rPr>
            </w:pPr>
          </w:p>
        </w:tc>
        <w:tc>
          <w:tcPr>
            <w:tcW w:w="1324" w:type="dxa"/>
            <w:vAlign w:val="center"/>
          </w:tcPr>
          <w:p>
            <w:pPr>
              <w:pStyle w:val="174"/>
              <w:bidi w:val="0"/>
              <w:ind w:firstLine="0" w:firstLineChars="0"/>
              <w:rPr>
                <w:snapToGrid w:val="0"/>
                <w:color w:val="auto"/>
                <w:kern w:val="21"/>
                <w:sz w:val="20"/>
                <w:szCs w:val="2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63"/>
              <w:spacing w:beforeLines="0" w:afterLines="0" w:line="240" w:lineRule="auto"/>
              <w:rPr>
                <w:rFonts w:ascii="Times New Roman"/>
                <w:snapToGrid w:val="0"/>
                <w:color w:val="auto"/>
                <w:kern w:val="21"/>
                <w:sz w:val="20"/>
                <w:szCs w:val="20"/>
                <w:highlight w:val="none"/>
              </w:rPr>
            </w:pPr>
          </w:p>
        </w:tc>
        <w:tc>
          <w:tcPr>
            <w:tcW w:w="1417" w:type="dxa"/>
            <w:vAlign w:val="center"/>
          </w:tcPr>
          <w:p>
            <w:pPr>
              <w:pStyle w:val="174"/>
              <w:bidi w:val="0"/>
              <w:ind w:firstLine="0" w:firstLineChars="0"/>
              <w:rPr>
                <w:rFonts w:ascii="Times New Roman"/>
                <w:snapToGrid w:val="0"/>
                <w:color w:val="auto"/>
                <w:sz w:val="20"/>
                <w:szCs w:val="20"/>
                <w:highlight w:val="none"/>
              </w:rPr>
            </w:pPr>
          </w:p>
        </w:tc>
        <w:tc>
          <w:tcPr>
            <w:tcW w:w="1701" w:type="dxa"/>
            <w:vAlign w:val="center"/>
          </w:tcPr>
          <w:p>
            <w:pPr>
              <w:pStyle w:val="174"/>
              <w:bidi w:val="0"/>
              <w:ind w:firstLine="0" w:firstLineChars="0"/>
              <w:rPr>
                <w:rFonts w:ascii="Times New Roman"/>
                <w:snapToGrid w:val="0"/>
                <w:color w:val="auto"/>
                <w:kern w:val="21"/>
                <w:sz w:val="20"/>
                <w:szCs w:val="20"/>
                <w:highlight w:val="none"/>
              </w:rPr>
            </w:pPr>
          </w:p>
        </w:tc>
        <w:tc>
          <w:tcPr>
            <w:tcW w:w="1276" w:type="dxa"/>
            <w:vAlign w:val="center"/>
          </w:tcPr>
          <w:p>
            <w:pPr>
              <w:pStyle w:val="174"/>
              <w:bidi w:val="0"/>
              <w:ind w:firstLine="0" w:firstLineChars="0"/>
              <w:rPr>
                <w:rFonts w:ascii="Times New Roman"/>
                <w:snapToGrid w:val="0"/>
                <w:color w:val="auto"/>
                <w:kern w:val="21"/>
                <w:sz w:val="20"/>
                <w:szCs w:val="20"/>
                <w:highlight w:val="none"/>
              </w:rPr>
            </w:pPr>
          </w:p>
        </w:tc>
        <w:tc>
          <w:tcPr>
            <w:tcW w:w="1701" w:type="dxa"/>
            <w:vAlign w:val="center"/>
          </w:tcPr>
          <w:p>
            <w:pPr>
              <w:pStyle w:val="174"/>
              <w:bidi w:val="0"/>
              <w:ind w:firstLine="0" w:firstLineChars="0"/>
              <w:rPr>
                <w:rFonts w:ascii="Times New Roman"/>
                <w:snapToGrid w:val="0"/>
                <w:color w:val="auto"/>
                <w:kern w:val="21"/>
                <w:sz w:val="20"/>
                <w:szCs w:val="20"/>
                <w:highlight w:val="none"/>
              </w:rPr>
            </w:pPr>
          </w:p>
        </w:tc>
        <w:tc>
          <w:tcPr>
            <w:tcW w:w="1559" w:type="dxa"/>
            <w:vAlign w:val="center"/>
          </w:tcPr>
          <w:p>
            <w:pPr>
              <w:pStyle w:val="174"/>
              <w:bidi w:val="0"/>
              <w:ind w:firstLine="0" w:firstLineChars="0"/>
              <w:rPr>
                <w:snapToGrid w:val="0"/>
                <w:color w:val="auto"/>
                <w:kern w:val="21"/>
                <w:sz w:val="20"/>
                <w:szCs w:val="20"/>
                <w:highlight w:val="yellow"/>
              </w:rPr>
            </w:pPr>
          </w:p>
        </w:tc>
        <w:tc>
          <w:tcPr>
            <w:tcW w:w="1521" w:type="dxa"/>
            <w:vAlign w:val="center"/>
          </w:tcPr>
          <w:p>
            <w:pPr>
              <w:pStyle w:val="174"/>
              <w:bidi w:val="0"/>
              <w:ind w:firstLine="0" w:firstLineChars="0"/>
              <w:rPr>
                <w:rFonts w:ascii="Times New Roman"/>
                <w:snapToGrid w:val="0"/>
                <w:color w:val="auto"/>
                <w:kern w:val="21"/>
                <w:sz w:val="20"/>
                <w:szCs w:val="20"/>
                <w:highlight w:val="yellow"/>
              </w:rPr>
            </w:pPr>
          </w:p>
        </w:tc>
        <w:tc>
          <w:tcPr>
            <w:tcW w:w="1701" w:type="dxa"/>
            <w:vAlign w:val="center"/>
          </w:tcPr>
          <w:p>
            <w:pPr>
              <w:pStyle w:val="174"/>
              <w:bidi w:val="0"/>
              <w:ind w:firstLine="0" w:firstLineChars="0"/>
              <w:rPr>
                <w:snapToGrid w:val="0"/>
                <w:color w:val="auto"/>
                <w:kern w:val="21"/>
                <w:sz w:val="20"/>
                <w:szCs w:val="20"/>
                <w:highlight w:val="yellow"/>
              </w:rPr>
            </w:pPr>
          </w:p>
        </w:tc>
        <w:tc>
          <w:tcPr>
            <w:tcW w:w="1324" w:type="dxa"/>
            <w:vAlign w:val="center"/>
          </w:tcPr>
          <w:p>
            <w:pPr>
              <w:pStyle w:val="174"/>
              <w:bidi w:val="0"/>
              <w:ind w:firstLine="0" w:firstLineChars="0"/>
              <w:rPr>
                <w:snapToGrid w:val="0"/>
                <w:color w:val="auto"/>
                <w:kern w:val="21"/>
                <w:sz w:val="20"/>
                <w:szCs w:val="2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63"/>
              <w:spacing w:beforeLines="0" w:afterLines="0" w:line="240" w:lineRule="auto"/>
              <w:rPr>
                <w:rFonts w:ascii="Times New Roman"/>
                <w:snapToGrid w:val="0"/>
                <w:color w:val="auto"/>
                <w:kern w:val="21"/>
                <w:sz w:val="20"/>
                <w:szCs w:val="20"/>
                <w:highlight w:val="none"/>
              </w:rPr>
            </w:pPr>
          </w:p>
        </w:tc>
        <w:tc>
          <w:tcPr>
            <w:tcW w:w="1417" w:type="dxa"/>
            <w:vAlign w:val="center"/>
          </w:tcPr>
          <w:p>
            <w:pPr>
              <w:pStyle w:val="174"/>
              <w:bidi w:val="0"/>
              <w:ind w:firstLine="0" w:firstLineChars="0"/>
              <w:rPr>
                <w:rFonts w:hint="default"/>
                <w:color w:val="auto"/>
                <w:sz w:val="20"/>
                <w:szCs w:val="20"/>
                <w:lang w:val="en-US" w:eastAsia="zh-CN"/>
              </w:rPr>
            </w:pPr>
          </w:p>
        </w:tc>
        <w:tc>
          <w:tcPr>
            <w:tcW w:w="1701" w:type="dxa"/>
            <w:vAlign w:val="center"/>
          </w:tcPr>
          <w:p>
            <w:pPr>
              <w:pStyle w:val="174"/>
              <w:bidi w:val="0"/>
              <w:ind w:firstLine="0" w:firstLineChars="0"/>
              <w:rPr>
                <w:rFonts w:hint="default"/>
                <w:color w:val="auto"/>
                <w:sz w:val="20"/>
                <w:szCs w:val="20"/>
                <w:lang w:val="en-US" w:eastAsia="zh-CN"/>
              </w:rPr>
            </w:pPr>
          </w:p>
        </w:tc>
        <w:tc>
          <w:tcPr>
            <w:tcW w:w="1276" w:type="dxa"/>
            <w:vAlign w:val="center"/>
          </w:tcPr>
          <w:p>
            <w:pPr>
              <w:pStyle w:val="174"/>
              <w:bidi w:val="0"/>
              <w:ind w:firstLine="0" w:firstLineChars="0"/>
              <w:rPr>
                <w:rFonts w:hint="default"/>
                <w:color w:val="auto"/>
                <w:sz w:val="20"/>
                <w:szCs w:val="20"/>
                <w:lang w:val="en-US" w:eastAsia="zh-CN"/>
              </w:rPr>
            </w:pPr>
          </w:p>
        </w:tc>
        <w:tc>
          <w:tcPr>
            <w:tcW w:w="1701" w:type="dxa"/>
            <w:vAlign w:val="center"/>
          </w:tcPr>
          <w:p>
            <w:pPr>
              <w:pStyle w:val="174"/>
              <w:bidi w:val="0"/>
              <w:ind w:firstLine="0" w:firstLineChars="0"/>
              <w:rPr>
                <w:rFonts w:hint="default"/>
                <w:color w:val="auto"/>
                <w:sz w:val="20"/>
                <w:szCs w:val="20"/>
                <w:lang w:val="en-US" w:eastAsia="zh-CN"/>
              </w:rPr>
            </w:pPr>
          </w:p>
        </w:tc>
        <w:tc>
          <w:tcPr>
            <w:tcW w:w="1559" w:type="dxa"/>
            <w:vAlign w:val="center"/>
          </w:tcPr>
          <w:p>
            <w:pPr>
              <w:pStyle w:val="174"/>
              <w:bidi w:val="0"/>
              <w:ind w:firstLine="0" w:firstLineChars="0"/>
              <w:rPr>
                <w:rFonts w:hint="default"/>
                <w:color w:val="auto"/>
                <w:sz w:val="20"/>
                <w:szCs w:val="20"/>
                <w:highlight w:val="yellow"/>
                <w:lang w:val="en-US" w:eastAsia="zh-CN"/>
              </w:rPr>
            </w:pPr>
          </w:p>
        </w:tc>
        <w:tc>
          <w:tcPr>
            <w:tcW w:w="1521" w:type="dxa"/>
            <w:vAlign w:val="center"/>
          </w:tcPr>
          <w:p>
            <w:pPr>
              <w:pStyle w:val="174"/>
              <w:bidi w:val="0"/>
              <w:ind w:firstLine="0" w:firstLineChars="0"/>
              <w:rPr>
                <w:rFonts w:hint="default"/>
                <w:color w:val="auto"/>
                <w:sz w:val="20"/>
                <w:szCs w:val="20"/>
                <w:highlight w:val="yellow"/>
                <w:lang w:val="en-US" w:eastAsia="zh-CN"/>
              </w:rPr>
            </w:pPr>
          </w:p>
        </w:tc>
        <w:tc>
          <w:tcPr>
            <w:tcW w:w="1701" w:type="dxa"/>
            <w:vAlign w:val="center"/>
          </w:tcPr>
          <w:p>
            <w:pPr>
              <w:bidi w:val="0"/>
              <w:ind w:firstLine="0" w:firstLineChars="0"/>
              <w:rPr>
                <w:rFonts w:hint="eastAsia"/>
                <w:color w:val="auto"/>
                <w:sz w:val="20"/>
                <w:szCs w:val="20"/>
                <w:highlight w:val="yellow"/>
                <w:lang w:val="en-US" w:eastAsia="zh-CN"/>
              </w:rPr>
            </w:pPr>
          </w:p>
        </w:tc>
        <w:tc>
          <w:tcPr>
            <w:tcW w:w="1324" w:type="dxa"/>
            <w:vAlign w:val="center"/>
          </w:tcPr>
          <w:p>
            <w:pPr>
              <w:bidi w:val="0"/>
              <w:ind w:firstLine="0" w:firstLineChars="0"/>
              <w:rPr>
                <w:rFonts w:hint="eastAsia"/>
                <w:color w:val="auto"/>
                <w:sz w:val="20"/>
                <w:szCs w:val="20"/>
                <w:highlight w:val="yellow"/>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63"/>
              <w:spacing w:beforeLines="0" w:afterLines="0" w:line="240" w:lineRule="auto"/>
              <w:rPr>
                <w:rFonts w:ascii="Times New Roman"/>
                <w:snapToGrid w:val="0"/>
                <w:color w:val="auto"/>
                <w:kern w:val="21"/>
                <w:sz w:val="20"/>
                <w:szCs w:val="20"/>
                <w:highlight w:val="none"/>
              </w:rPr>
            </w:pPr>
            <w:r>
              <w:rPr>
                <w:rFonts w:ascii="Times New Roman"/>
                <w:snapToGrid w:val="0"/>
                <w:color w:val="auto"/>
                <w:kern w:val="21"/>
                <w:sz w:val="20"/>
                <w:szCs w:val="20"/>
                <w:highlight w:val="none"/>
              </w:rPr>
              <w:t>危险废物</w:t>
            </w:r>
          </w:p>
        </w:tc>
        <w:tc>
          <w:tcPr>
            <w:tcW w:w="1417" w:type="dxa"/>
            <w:vAlign w:val="center"/>
          </w:tcPr>
          <w:p>
            <w:pPr>
              <w:pStyle w:val="174"/>
              <w:bidi w:val="0"/>
              <w:ind w:firstLine="0" w:firstLineChars="0"/>
              <w:rPr>
                <w:rFonts w:ascii="Times New Roman"/>
                <w:snapToGrid w:val="0"/>
                <w:color w:val="auto"/>
                <w:sz w:val="20"/>
                <w:szCs w:val="20"/>
                <w:highlight w:val="none"/>
              </w:rPr>
            </w:pPr>
          </w:p>
        </w:tc>
        <w:tc>
          <w:tcPr>
            <w:tcW w:w="1701" w:type="dxa"/>
            <w:vAlign w:val="center"/>
          </w:tcPr>
          <w:p>
            <w:pPr>
              <w:pStyle w:val="174"/>
              <w:bidi w:val="0"/>
              <w:ind w:firstLine="0" w:firstLineChars="0"/>
              <w:rPr>
                <w:rFonts w:ascii="Times New Roman"/>
                <w:snapToGrid w:val="0"/>
                <w:color w:val="auto"/>
                <w:kern w:val="21"/>
                <w:sz w:val="20"/>
                <w:szCs w:val="20"/>
                <w:highlight w:val="none"/>
              </w:rPr>
            </w:pPr>
          </w:p>
        </w:tc>
        <w:tc>
          <w:tcPr>
            <w:tcW w:w="1276" w:type="dxa"/>
            <w:vAlign w:val="center"/>
          </w:tcPr>
          <w:p>
            <w:pPr>
              <w:pStyle w:val="174"/>
              <w:bidi w:val="0"/>
              <w:ind w:firstLine="0" w:firstLineChars="0"/>
              <w:rPr>
                <w:rFonts w:ascii="Times New Roman"/>
                <w:snapToGrid w:val="0"/>
                <w:color w:val="auto"/>
                <w:kern w:val="21"/>
                <w:sz w:val="20"/>
                <w:szCs w:val="20"/>
                <w:highlight w:val="none"/>
              </w:rPr>
            </w:pPr>
          </w:p>
        </w:tc>
        <w:tc>
          <w:tcPr>
            <w:tcW w:w="1701" w:type="dxa"/>
            <w:vAlign w:val="center"/>
          </w:tcPr>
          <w:p>
            <w:pPr>
              <w:pStyle w:val="174"/>
              <w:bidi w:val="0"/>
              <w:ind w:firstLine="0" w:firstLineChars="0"/>
              <w:rPr>
                <w:rFonts w:ascii="Times New Roman"/>
                <w:snapToGrid w:val="0"/>
                <w:color w:val="auto"/>
                <w:kern w:val="21"/>
                <w:sz w:val="20"/>
                <w:szCs w:val="20"/>
                <w:highlight w:val="none"/>
              </w:rPr>
            </w:pPr>
          </w:p>
        </w:tc>
        <w:tc>
          <w:tcPr>
            <w:tcW w:w="1559" w:type="dxa"/>
            <w:vAlign w:val="center"/>
          </w:tcPr>
          <w:p>
            <w:pPr>
              <w:pStyle w:val="174"/>
              <w:bidi w:val="0"/>
              <w:ind w:firstLine="0" w:firstLineChars="0"/>
              <w:rPr>
                <w:snapToGrid w:val="0"/>
                <w:color w:val="auto"/>
                <w:kern w:val="21"/>
                <w:sz w:val="20"/>
                <w:szCs w:val="20"/>
                <w:highlight w:val="yellow"/>
              </w:rPr>
            </w:pPr>
          </w:p>
        </w:tc>
        <w:tc>
          <w:tcPr>
            <w:tcW w:w="1521" w:type="dxa"/>
            <w:vAlign w:val="center"/>
          </w:tcPr>
          <w:p>
            <w:pPr>
              <w:pStyle w:val="174"/>
              <w:bidi w:val="0"/>
              <w:ind w:firstLine="0" w:firstLineChars="0"/>
              <w:rPr>
                <w:rFonts w:ascii="Times New Roman"/>
                <w:snapToGrid w:val="0"/>
                <w:color w:val="auto"/>
                <w:kern w:val="21"/>
                <w:sz w:val="20"/>
                <w:szCs w:val="20"/>
                <w:highlight w:val="yellow"/>
              </w:rPr>
            </w:pPr>
          </w:p>
        </w:tc>
        <w:tc>
          <w:tcPr>
            <w:tcW w:w="1701" w:type="dxa"/>
            <w:vAlign w:val="center"/>
          </w:tcPr>
          <w:p>
            <w:pPr>
              <w:pStyle w:val="174"/>
              <w:bidi w:val="0"/>
              <w:ind w:firstLine="0" w:firstLineChars="0"/>
              <w:rPr>
                <w:snapToGrid w:val="0"/>
                <w:color w:val="auto"/>
                <w:kern w:val="21"/>
                <w:sz w:val="20"/>
                <w:szCs w:val="20"/>
                <w:highlight w:val="yellow"/>
              </w:rPr>
            </w:pPr>
          </w:p>
        </w:tc>
        <w:tc>
          <w:tcPr>
            <w:tcW w:w="1324" w:type="dxa"/>
            <w:vAlign w:val="center"/>
          </w:tcPr>
          <w:p>
            <w:pPr>
              <w:pStyle w:val="174"/>
              <w:bidi w:val="0"/>
              <w:ind w:firstLine="0" w:firstLineChars="0"/>
              <w:rPr>
                <w:snapToGrid w:val="0"/>
                <w:color w:val="auto"/>
                <w:kern w:val="21"/>
                <w:sz w:val="20"/>
                <w:szCs w:val="2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63"/>
              <w:spacing w:beforeLines="0" w:afterLines="0" w:line="240" w:lineRule="auto"/>
              <w:rPr>
                <w:rFonts w:ascii="Times New Roman"/>
                <w:snapToGrid w:val="0"/>
                <w:color w:val="auto"/>
                <w:kern w:val="21"/>
                <w:sz w:val="20"/>
                <w:szCs w:val="20"/>
                <w:highlight w:val="none"/>
              </w:rPr>
            </w:pPr>
          </w:p>
        </w:tc>
        <w:tc>
          <w:tcPr>
            <w:tcW w:w="1417" w:type="dxa"/>
            <w:vAlign w:val="center"/>
          </w:tcPr>
          <w:p>
            <w:pPr>
              <w:pStyle w:val="174"/>
              <w:bidi w:val="0"/>
              <w:ind w:firstLine="0" w:firstLineChars="0"/>
              <w:rPr>
                <w:rFonts w:ascii="Times New Roman"/>
                <w:snapToGrid w:val="0"/>
                <w:color w:val="auto"/>
                <w:kern w:val="21"/>
                <w:sz w:val="20"/>
                <w:szCs w:val="20"/>
                <w:highlight w:val="none"/>
              </w:rPr>
            </w:pPr>
          </w:p>
        </w:tc>
        <w:tc>
          <w:tcPr>
            <w:tcW w:w="1701" w:type="dxa"/>
            <w:vAlign w:val="center"/>
          </w:tcPr>
          <w:p>
            <w:pPr>
              <w:pStyle w:val="174"/>
              <w:bidi w:val="0"/>
              <w:ind w:firstLine="0" w:firstLineChars="0"/>
              <w:rPr>
                <w:rFonts w:ascii="Times New Roman"/>
                <w:snapToGrid w:val="0"/>
                <w:color w:val="auto"/>
                <w:kern w:val="21"/>
                <w:sz w:val="20"/>
                <w:szCs w:val="20"/>
                <w:highlight w:val="none"/>
              </w:rPr>
            </w:pPr>
          </w:p>
        </w:tc>
        <w:tc>
          <w:tcPr>
            <w:tcW w:w="1276" w:type="dxa"/>
            <w:vAlign w:val="center"/>
          </w:tcPr>
          <w:p>
            <w:pPr>
              <w:pStyle w:val="174"/>
              <w:bidi w:val="0"/>
              <w:ind w:firstLine="0" w:firstLineChars="0"/>
              <w:rPr>
                <w:rFonts w:ascii="Times New Roman"/>
                <w:snapToGrid w:val="0"/>
                <w:color w:val="auto"/>
                <w:kern w:val="21"/>
                <w:sz w:val="20"/>
                <w:szCs w:val="20"/>
                <w:highlight w:val="none"/>
              </w:rPr>
            </w:pPr>
          </w:p>
        </w:tc>
        <w:tc>
          <w:tcPr>
            <w:tcW w:w="1701" w:type="dxa"/>
            <w:vAlign w:val="center"/>
          </w:tcPr>
          <w:p>
            <w:pPr>
              <w:pStyle w:val="174"/>
              <w:bidi w:val="0"/>
              <w:ind w:firstLine="0" w:firstLineChars="0"/>
              <w:rPr>
                <w:rFonts w:ascii="Times New Roman"/>
                <w:snapToGrid w:val="0"/>
                <w:color w:val="auto"/>
                <w:kern w:val="21"/>
                <w:sz w:val="20"/>
                <w:szCs w:val="20"/>
                <w:highlight w:val="none"/>
              </w:rPr>
            </w:pPr>
          </w:p>
        </w:tc>
        <w:tc>
          <w:tcPr>
            <w:tcW w:w="1559" w:type="dxa"/>
            <w:vAlign w:val="center"/>
          </w:tcPr>
          <w:p>
            <w:pPr>
              <w:pStyle w:val="174"/>
              <w:bidi w:val="0"/>
              <w:ind w:firstLine="0" w:firstLineChars="0"/>
              <w:rPr>
                <w:rFonts w:ascii="Times New Roman"/>
                <w:snapToGrid w:val="0"/>
                <w:color w:val="auto"/>
                <w:kern w:val="21"/>
                <w:sz w:val="20"/>
                <w:szCs w:val="20"/>
                <w:highlight w:val="yellow"/>
              </w:rPr>
            </w:pPr>
          </w:p>
        </w:tc>
        <w:tc>
          <w:tcPr>
            <w:tcW w:w="1521" w:type="dxa"/>
            <w:vAlign w:val="center"/>
          </w:tcPr>
          <w:p>
            <w:pPr>
              <w:pStyle w:val="174"/>
              <w:bidi w:val="0"/>
              <w:ind w:firstLine="0" w:firstLineChars="0"/>
              <w:rPr>
                <w:rFonts w:ascii="Times New Roman"/>
                <w:snapToGrid w:val="0"/>
                <w:color w:val="auto"/>
                <w:kern w:val="21"/>
                <w:sz w:val="20"/>
                <w:szCs w:val="20"/>
                <w:highlight w:val="yellow"/>
              </w:rPr>
            </w:pPr>
          </w:p>
        </w:tc>
        <w:tc>
          <w:tcPr>
            <w:tcW w:w="1701" w:type="dxa"/>
            <w:vAlign w:val="center"/>
          </w:tcPr>
          <w:p>
            <w:pPr>
              <w:pStyle w:val="174"/>
              <w:bidi w:val="0"/>
              <w:ind w:firstLine="0" w:firstLineChars="0"/>
              <w:rPr>
                <w:rFonts w:ascii="Times New Roman"/>
                <w:snapToGrid w:val="0"/>
                <w:color w:val="auto"/>
                <w:kern w:val="21"/>
                <w:sz w:val="20"/>
                <w:szCs w:val="20"/>
                <w:highlight w:val="yellow"/>
              </w:rPr>
            </w:pPr>
          </w:p>
        </w:tc>
        <w:tc>
          <w:tcPr>
            <w:tcW w:w="1324" w:type="dxa"/>
            <w:vAlign w:val="center"/>
          </w:tcPr>
          <w:p>
            <w:pPr>
              <w:pStyle w:val="174"/>
              <w:bidi w:val="0"/>
              <w:ind w:firstLine="0" w:firstLineChars="0"/>
              <w:rPr>
                <w:rFonts w:ascii="Times New Roman"/>
                <w:snapToGrid w:val="0"/>
                <w:color w:val="auto"/>
                <w:kern w:val="21"/>
                <w:sz w:val="20"/>
                <w:szCs w:val="20"/>
                <w:highlight w:val="yellow"/>
              </w:rPr>
            </w:pPr>
          </w:p>
        </w:tc>
      </w:tr>
    </w:tbl>
    <w:p>
      <w:pPr>
        <w:bidi w:val="0"/>
        <w:sectPr>
          <w:footerReference r:id="rId11" w:type="default"/>
          <w:pgSz w:w="16838" w:h="11906" w:orient="landscape"/>
          <w:pgMar w:top="1304" w:right="1531" w:bottom="1304" w:left="1531" w:header="851" w:footer="851" w:gutter="0"/>
          <w:pgBorders>
            <w:top w:val="none" w:sz="0" w:space="0"/>
            <w:left w:val="none" w:sz="0" w:space="0"/>
            <w:bottom w:val="none" w:sz="0" w:space="0"/>
            <w:right w:val="none" w:sz="0" w:space="0"/>
          </w:pgBorders>
          <w:cols w:space="720" w:num="1"/>
          <w:docGrid w:linePitch="312" w:charSpace="0"/>
        </w:sectPr>
      </w:pPr>
      <w:bookmarkStart w:id="35" w:name="_Toc3922"/>
      <w:bookmarkStart w:id="36" w:name="_Toc9971"/>
      <w:bookmarkStart w:id="37" w:name="_Toc16705"/>
      <w:bookmarkStart w:id="38" w:name="_Toc5095"/>
      <w:bookmarkStart w:id="39" w:name="_Toc4966"/>
      <w:bookmarkStart w:id="40" w:name="_Toc26355"/>
      <w:bookmarkStart w:id="41" w:name="_Toc2697"/>
      <w:bookmarkStart w:id="42" w:name="_Toc21642"/>
      <w:bookmarkStart w:id="43" w:name="_Toc12626"/>
      <w:bookmarkStart w:id="44" w:name="_Toc26751"/>
      <w:r>
        <w:t>注：</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r>
        <w:t>+</w:t>
      </w:r>
      <w:r>
        <w:fldChar w:fldCharType="begin"/>
      </w:r>
      <w:r>
        <w:instrText xml:space="preserve"> = 3 \* GB3 \* MERGEFORMAT </w:instrText>
      </w:r>
      <w:r>
        <w:fldChar w:fldCharType="separate"/>
      </w:r>
      <w:r>
        <w:rPr>
          <w:rFonts w:hint="eastAsia"/>
        </w:rPr>
        <w:t>③</w:t>
      </w:r>
      <w:r>
        <w:fldChar w:fldCharType="end"/>
      </w:r>
      <w:r>
        <w:t>+</w:t>
      </w:r>
      <w:r>
        <w:fldChar w:fldCharType="begin"/>
      </w:r>
      <w:r>
        <w:instrText xml:space="preserve"> = 4 \* GB3 \* MERGEFORMAT </w:instrText>
      </w:r>
      <w:r>
        <w:fldChar w:fldCharType="separate"/>
      </w:r>
      <w:r>
        <w:rPr>
          <w:rFonts w:hint="eastAsia"/>
        </w:rPr>
        <w:t>④</w:t>
      </w:r>
      <w:r>
        <w:fldChar w:fldCharType="end"/>
      </w:r>
      <w:r>
        <w:t>-</w:t>
      </w:r>
      <w:r>
        <w:fldChar w:fldCharType="begin"/>
      </w:r>
      <w:r>
        <w:instrText xml:space="preserve"> = 5 \* GB3 \* MERGEFORMAT </w:instrText>
      </w:r>
      <w:r>
        <w:fldChar w:fldCharType="separate"/>
      </w:r>
      <w:r>
        <w:rPr>
          <w:rFonts w:hint="eastAsia"/>
        </w:rPr>
        <w:t>⑤</w:t>
      </w:r>
      <w:r>
        <w:fldChar w:fldCharType="end"/>
      </w:r>
      <w:r>
        <w:t>；</w:t>
      </w:r>
      <w:r>
        <w:fldChar w:fldCharType="begin"/>
      </w:r>
      <w:r>
        <w:instrText xml:space="preserve"> = 7 \* GB3 \* MERGEFORMAT </w:instrText>
      </w:r>
      <w:r>
        <w:fldChar w:fldCharType="separate"/>
      </w:r>
      <w:r>
        <w:rPr>
          <w:rFonts w:hint="eastAsia"/>
        </w:rPr>
        <w:t>⑦</w:t>
      </w:r>
      <w:r>
        <w:fldChar w:fldCharType="end"/>
      </w:r>
      <w:r>
        <w:t>=</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bookmarkEnd w:id="35"/>
      <w:bookmarkEnd w:id="36"/>
      <w:bookmarkEnd w:id="37"/>
      <w:bookmarkEnd w:id="38"/>
      <w:bookmarkEnd w:id="39"/>
      <w:bookmarkEnd w:id="40"/>
      <w:bookmarkEnd w:id="41"/>
      <w:bookmarkEnd w:id="42"/>
      <w:bookmarkEnd w:id="43"/>
      <w:bookmarkEnd w:id="44"/>
    </w:p>
    <w:p>
      <w:pPr>
        <w:pStyle w:val="2"/>
        <w:spacing w:before="0" w:after="0" w:line="360" w:lineRule="auto"/>
        <w:ind w:left="0" w:firstLine="0"/>
        <w:rPr>
          <w:rFonts w:eastAsia="宋体"/>
          <w:snapToGrid w:val="0"/>
          <w:color w:val="auto"/>
          <w:sz w:val="28"/>
          <w:szCs w:val="28"/>
          <w:highlight w:val="none"/>
        </w:rPr>
      </w:pPr>
      <w:bookmarkStart w:id="45" w:name="_Toc2825"/>
      <w:r>
        <w:rPr>
          <w:rFonts w:eastAsia="宋体"/>
          <w:snapToGrid w:val="0"/>
          <w:color w:val="auto"/>
          <w:sz w:val="28"/>
          <w:szCs w:val="28"/>
          <w:highlight w:val="none"/>
        </w:rPr>
        <w:t>附图</w:t>
      </w:r>
      <w:bookmarkEnd w:id="45"/>
    </w:p>
    <w:p>
      <w:pPr>
        <w:pStyle w:val="88"/>
        <w:outlineLvl w:val="0"/>
        <w:rPr>
          <w:rFonts w:hint="eastAsia" w:eastAsia="宋体"/>
          <w:color w:val="auto"/>
          <w:highlight w:val="none"/>
          <w:lang w:eastAsia="zh-CN"/>
        </w:rPr>
      </w:pPr>
      <w:bookmarkStart w:id="46" w:name="_Toc9048"/>
      <w:r>
        <w:rPr>
          <w:color w:val="auto"/>
          <w:sz w:val="28"/>
          <w:szCs w:val="28"/>
          <w:highlight w:val="none"/>
        </w:rPr>
        <w:t>附图</w:t>
      </w:r>
      <w:r>
        <w:rPr>
          <w:rFonts w:hint="default" w:ascii="Times New Roman" w:hAnsi="Times New Roman" w:cs="Times New Roman"/>
          <w:color w:val="auto"/>
          <w:sz w:val="28"/>
          <w:szCs w:val="28"/>
          <w:highlight w:val="none"/>
        </w:rPr>
        <w:t>1</w:t>
      </w:r>
      <w:r>
        <w:rPr>
          <w:color w:val="auto"/>
          <w:sz w:val="28"/>
          <w:szCs w:val="28"/>
          <w:highlight w:val="none"/>
        </w:rPr>
        <w:t>：地理位置图</w:t>
      </w:r>
      <w:bookmarkEnd w:id="46"/>
    </w:p>
    <w:p>
      <w:pPr>
        <w:pStyle w:val="86"/>
        <w:ind w:firstLine="0" w:firstLineChars="0"/>
        <w:jc w:val="center"/>
        <w:rPr>
          <w:rFonts w:hint="eastAsia" w:eastAsia="宋体"/>
          <w:color w:val="auto"/>
          <w:lang w:eastAsia="zh-CN"/>
        </w:rPr>
        <w:sectPr>
          <w:pgSz w:w="11906" w:h="16838"/>
          <w:pgMar w:top="1531" w:right="1304" w:bottom="1531" w:left="1304" w:header="851" w:footer="851" w:gutter="0"/>
          <w:pgBorders>
            <w:top w:val="none" w:sz="0" w:space="0"/>
            <w:left w:val="none" w:sz="0" w:space="0"/>
            <w:bottom w:val="none" w:sz="0" w:space="0"/>
            <w:right w:val="none" w:sz="0" w:space="0"/>
          </w:pgBorders>
          <w:cols w:space="720" w:num="1"/>
          <w:docGrid w:linePitch="312" w:charSpace="0"/>
        </w:sectPr>
      </w:pP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1610360</wp:posOffset>
                </wp:positionH>
                <wp:positionV relativeFrom="paragraph">
                  <wp:posOffset>1311910</wp:posOffset>
                </wp:positionV>
                <wp:extent cx="896620" cy="333375"/>
                <wp:effectExtent l="6350" t="6350" r="30480" b="727075"/>
                <wp:wrapNone/>
                <wp:docPr id="56" name="矩形标注 56"/>
                <wp:cNvGraphicFramePr/>
                <a:graphic xmlns:a="http://schemas.openxmlformats.org/drawingml/2006/main">
                  <a:graphicData uri="http://schemas.microsoft.com/office/word/2010/wordprocessingShape">
                    <wps:wsp>
                      <wps:cNvSpPr/>
                      <wps:spPr>
                        <a:xfrm>
                          <a:off x="4792345" y="4042410"/>
                          <a:ext cx="896620" cy="333375"/>
                        </a:xfrm>
                        <a:prstGeom prst="wedgeRectCallout">
                          <a:avLst>
                            <a:gd name="adj1" fmla="val 51013"/>
                            <a:gd name="adj2" fmla="val 25304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b/>
                                <w:bCs/>
                                <w:color w:val="FF0000"/>
                                <w:lang w:val="en-US" w:eastAsia="zh-CN"/>
                              </w:rPr>
                            </w:pPr>
                            <w:r>
                              <w:rPr>
                                <w:rFonts w:hint="eastAsia"/>
                                <w:b/>
                                <w:bCs/>
                                <w:color w:val="FF0000"/>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6.8pt;margin-top:103.3pt;height:26.25pt;width:70.6pt;z-index:251659264;v-text-anchor:middle;mso-width-relative:page;mso-height-relative:page;" filled="f" stroked="t" coordsize="21600,21600" o:gfxdata="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Cec81NcAAAALAQAADwAAAAAAAAABACAAAAAiAAAAZHJzL2Rvd25yZXYueG1sUEsBAhQAFAAAAAgA&#10;h07iQMgA40+YAgAA+QQAAA4AAAAAAAAAAQAgAAAAJgEAAGRycy9lMm9Eb2MueG1sUEsFBgAAAAAG&#10;AAYAWQEAADAGAAAAAA==&#10;" adj="21819,65458">
                <v:fill on="f" focussize="0,0"/>
                <v:stroke weight="1pt" color="#FF0000 [2404]" miterlimit="8" joinstyle="miter"/>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本项目位置</w:t>
                      </w:r>
                    </w:p>
                  </w:txbxContent>
                </v:textbox>
              </v:shape>
            </w:pict>
          </mc:Fallback>
        </mc:AlternateContent>
      </w:r>
      <w:r>
        <w:rPr>
          <w:rFonts w:hint="eastAsia" w:eastAsia="宋体"/>
          <w:color w:val="auto"/>
          <w:lang w:eastAsia="zh-CN"/>
        </w:rPr>
        <w:drawing>
          <wp:inline distT="0" distB="0" distL="114300" distR="114300">
            <wp:extent cx="5897880" cy="3498850"/>
            <wp:effectExtent l="0" t="0" r="7620" b="6350"/>
            <wp:docPr id="3" name="图片 3" descr="175738332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7383324064"/>
                    <pic:cNvPicPr>
                      <a:picLocks noChangeAspect="1"/>
                    </pic:cNvPicPr>
                  </pic:nvPicPr>
                  <pic:blipFill>
                    <a:blip r:embed="rId38"/>
                    <a:stretch>
                      <a:fillRect/>
                    </a:stretch>
                  </pic:blipFill>
                  <pic:spPr>
                    <a:xfrm>
                      <a:off x="0" y="0"/>
                      <a:ext cx="5897880" cy="3498850"/>
                    </a:xfrm>
                    <a:prstGeom prst="rect">
                      <a:avLst/>
                    </a:prstGeom>
                  </pic:spPr>
                </pic:pic>
              </a:graphicData>
            </a:graphic>
          </wp:inline>
        </w:drawing>
      </w:r>
    </w:p>
    <w:p>
      <w:pPr>
        <w:pStyle w:val="88"/>
        <w:outlineLvl w:val="0"/>
        <w:rPr>
          <w:rFonts w:hint="default" w:eastAsia="宋体"/>
          <w:color w:val="auto"/>
          <w:sz w:val="28"/>
          <w:szCs w:val="28"/>
          <w:highlight w:val="none"/>
          <w:lang w:val="en-US" w:eastAsia="zh-CN"/>
        </w:rPr>
      </w:pPr>
      <w:bookmarkStart w:id="47" w:name="_Toc22837"/>
      <w:r>
        <w:rPr>
          <w:color w:val="auto"/>
          <w:sz w:val="28"/>
          <w:szCs w:val="28"/>
          <w:highlight w:val="none"/>
        </w:rPr>
        <w:t>附图</w:t>
      </w:r>
      <w:r>
        <w:rPr>
          <w:rFonts w:hint="default" w:ascii="Times New Roman" w:hAnsi="Times New Roman" w:cs="Times New Roman"/>
          <w:color w:val="auto"/>
          <w:sz w:val="28"/>
          <w:szCs w:val="28"/>
          <w:highlight w:val="none"/>
          <w:lang w:val="en-US" w:eastAsia="zh-CN"/>
        </w:rPr>
        <w:t>2</w:t>
      </w:r>
      <w:r>
        <w:rPr>
          <w:color w:val="auto"/>
          <w:sz w:val="28"/>
          <w:szCs w:val="28"/>
          <w:highlight w:val="none"/>
        </w:rPr>
        <w:t>：</w:t>
      </w:r>
      <w:r>
        <w:rPr>
          <w:rFonts w:hint="eastAsia"/>
          <w:color w:val="auto"/>
          <w:sz w:val="28"/>
          <w:szCs w:val="28"/>
          <w:highlight w:val="none"/>
          <w:lang w:val="en-US" w:eastAsia="zh-CN"/>
        </w:rPr>
        <w:t>项目周边照片</w:t>
      </w:r>
      <w:bookmarkEnd w:id="47"/>
    </w:p>
    <w:p>
      <w:pPr>
        <w:pStyle w:val="81"/>
        <w:ind w:firstLine="20"/>
        <w:rPr>
          <w:snapToGrid w:val="0"/>
          <w:color w:val="auto"/>
          <w:w w:val="0"/>
          <w:kern w:val="0"/>
          <w:sz w:val="0"/>
          <w:szCs w:val="0"/>
          <w:highlight w:val="none"/>
          <w:u w:color="000000"/>
          <w:shd w:val="clear" w:color="000000" w:fill="000000"/>
          <w:lang w:bidi="zh-CN"/>
        </w:rPr>
      </w:pPr>
    </w:p>
    <w:p>
      <w:pPr>
        <w:pStyle w:val="81"/>
        <w:ind w:firstLine="20"/>
        <w:rPr>
          <w:snapToGrid w:val="0"/>
          <w:color w:val="auto"/>
          <w:w w:val="0"/>
          <w:kern w:val="0"/>
          <w:sz w:val="0"/>
          <w:szCs w:val="0"/>
          <w:highlight w:val="none"/>
          <w:u w:color="000000"/>
          <w:shd w:val="clear" w:color="000000" w:fill="000000"/>
          <w:lang w:bidi="zh-CN"/>
        </w:rPr>
      </w:pPr>
    </w:p>
    <w:p>
      <w:pPr>
        <w:pStyle w:val="81"/>
        <w:ind w:firstLine="0" w:firstLineChars="0"/>
        <w:jc w:val="both"/>
        <w:rPr>
          <w:rFonts w:hint="eastAsia" w:eastAsia="宋体"/>
          <w:snapToGrid w:val="0"/>
          <w:color w:val="auto"/>
          <w:highlight w:val="none"/>
          <w:lang w:eastAsia="zh-CN"/>
        </w:rPr>
      </w:pPr>
      <w:r>
        <w:rPr>
          <w:rFonts w:hint="eastAsia"/>
          <w:snapToGrid w:val="0"/>
          <w:color w:val="auto"/>
          <w:highlight w:val="none"/>
          <w:lang w:val="en-US" w:eastAsia="zh-CN"/>
        </w:rPr>
        <w:t xml:space="preserve">                        </w:t>
      </w:r>
    </w:p>
    <w:p>
      <w:pPr>
        <w:pStyle w:val="81"/>
        <w:ind w:firstLine="20"/>
        <w:rPr>
          <w:snapToGrid w:val="0"/>
          <w:color w:val="auto"/>
          <w:w w:val="0"/>
          <w:kern w:val="0"/>
          <w:sz w:val="0"/>
          <w:szCs w:val="0"/>
          <w:highlight w:val="none"/>
          <w:u w:color="000000"/>
          <w:shd w:val="clear" w:color="000000" w:fill="000000"/>
          <w:lang w:bidi="zh-CN"/>
        </w:rPr>
      </w:pPr>
    </w:p>
    <w:p>
      <w:pPr>
        <w:pStyle w:val="81"/>
        <w:ind w:firstLine="20"/>
        <w:rPr>
          <w:snapToGrid w:val="0"/>
          <w:color w:val="auto"/>
          <w:w w:val="0"/>
          <w:kern w:val="0"/>
          <w:sz w:val="0"/>
          <w:szCs w:val="0"/>
          <w:highlight w:val="none"/>
          <w:u w:color="000000"/>
          <w:shd w:val="clear" w:color="000000" w:fill="000000"/>
          <w:lang w:bidi="zh-CN"/>
        </w:rPr>
      </w:pPr>
    </w:p>
    <w:p>
      <w:pPr>
        <w:pStyle w:val="81"/>
        <w:ind w:firstLine="0" w:firstLineChars="0"/>
        <w:jc w:val="both"/>
        <w:rPr>
          <w:rFonts w:hint="eastAsia" w:eastAsia="宋体"/>
          <w:snapToGrid w:val="0"/>
          <w:color w:val="auto"/>
          <w:highlight w:val="none"/>
          <w:lang w:eastAsia="zh-CN"/>
        </w:rPr>
      </w:pPr>
      <w:r>
        <w:rPr>
          <w:rFonts w:hint="eastAsia"/>
          <w:snapToGrid w:val="0"/>
          <w:color w:val="auto"/>
          <w:highlight w:val="none"/>
          <w:lang w:val="en-US" w:eastAsia="zh-CN"/>
        </w:rPr>
        <w:t xml:space="preserve">                        </w:t>
      </w:r>
      <w:r>
        <w:rPr>
          <w:rFonts w:hint="eastAsia" w:eastAsia="宋体"/>
          <w:snapToGrid w:val="0"/>
          <w:color w:val="auto"/>
          <w:highlight w:val="none"/>
          <w:lang w:eastAsia="zh-CN"/>
        </w:rPr>
        <w:drawing>
          <wp:inline distT="0" distB="0" distL="114300" distR="114300">
            <wp:extent cx="2929890" cy="2196465"/>
            <wp:effectExtent l="0" t="0" r="3810" b="13335"/>
            <wp:docPr id="6" name="图片 6" descr="d248c70df1f5d2b39510c17819ef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248c70df1f5d2b39510c17819efddf"/>
                    <pic:cNvPicPr>
                      <a:picLocks noChangeAspect="1"/>
                    </pic:cNvPicPr>
                  </pic:nvPicPr>
                  <pic:blipFill>
                    <a:blip r:embed="rId39"/>
                    <a:stretch>
                      <a:fillRect/>
                    </a:stretch>
                  </pic:blipFill>
                  <pic:spPr>
                    <a:xfrm>
                      <a:off x="0" y="0"/>
                      <a:ext cx="2929890" cy="2196465"/>
                    </a:xfrm>
                    <a:prstGeom prst="rect">
                      <a:avLst/>
                    </a:prstGeom>
                  </pic:spPr>
                </pic:pic>
              </a:graphicData>
            </a:graphic>
          </wp:inline>
        </w:drawing>
      </w:r>
      <w:r>
        <w:rPr>
          <w:rFonts w:hint="eastAsia" w:eastAsia="宋体"/>
          <w:snapToGrid w:val="0"/>
          <w:color w:val="auto"/>
          <w:highlight w:val="none"/>
          <w:lang w:eastAsia="zh-CN"/>
        </w:rPr>
        <w:drawing>
          <wp:inline distT="0" distB="0" distL="114300" distR="114300">
            <wp:extent cx="2764790" cy="2211070"/>
            <wp:effectExtent l="0" t="0" r="16510" b="17780"/>
            <wp:docPr id="7" name="图片 7" descr="c8765a3bbbccd1b386a69288d83b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8765a3bbbccd1b386a69288d83b970"/>
                    <pic:cNvPicPr>
                      <a:picLocks noChangeAspect="1"/>
                    </pic:cNvPicPr>
                  </pic:nvPicPr>
                  <pic:blipFill>
                    <a:blip r:embed="rId40"/>
                    <a:stretch>
                      <a:fillRect/>
                    </a:stretch>
                  </pic:blipFill>
                  <pic:spPr>
                    <a:xfrm>
                      <a:off x="0" y="0"/>
                      <a:ext cx="2764790" cy="2211070"/>
                    </a:xfrm>
                    <a:prstGeom prst="rect">
                      <a:avLst/>
                    </a:prstGeom>
                  </pic:spPr>
                </pic:pic>
              </a:graphicData>
            </a:graphic>
          </wp:inline>
        </w:drawing>
      </w:r>
    </w:p>
    <w:p>
      <w:pPr>
        <w:pStyle w:val="81"/>
        <w:ind w:firstLine="1928" w:firstLineChars="800"/>
        <w:jc w:val="both"/>
        <w:rPr>
          <w:rFonts w:hint="default" w:ascii="Times New Roman" w:hAnsi="Times New Roman" w:eastAsia="宋体" w:cs="Times New Roman"/>
          <w:b/>
          <w:snapToGrid w:val="0"/>
          <w:color w:val="auto"/>
          <w:kern w:val="2"/>
          <w:sz w:val="24"/>
          <w:szCs w:val="24"/>
          <w:highlight w:val="none"/>
          <w:lang w:val="en-US" w:eastAsia="zh-CN" w:bidi="ar-SA"/>
        </w:rPr>
      </w:pPr>
      <w:r>
        <w:rPr>
          <w:rFonts w:hint="eastAsia" w:ascii="Times New Roman" w:hAnsi="Times New Roman" w:eastAsia="宋体" w:cs="Times New Roman"/>
          <w:b/>
          <w:snapToGrid w:val="0"/>
          <w:color w:val="auto"/>
          <w:kern w:val="2"/>
          <w:sz w:val="24"/>
          <w:szCs w:val="24"/>
          <w:highlight w:val="none"/>
          <w:lang w:val="en-US" w:eastAsia="zh-CN" w:bidi="ar-SA"/>
        </w:rPr>
        <w:t xml:space="preserve"> 项目</w:t>
      </w:r>
      <w:r>
        <w:rPr>
          <w:rFonts w:hint="eastAsia" w:cs="Times New Roman"/>
          <w:b/>
          <w:snapToGrid w:val="0"/>
          <w:color w:val="auto"/>
          <w:kern w:val="2"/>
          <w:sz w:val="24"/>
          <w:szCs w:val="24"/>
          <w:highlight w:val="none"/>
          <w:lang w:val="en-US" w:eastAsia="zh-CN" w:bidi="ar-SA"/>
        </w:rPr>
        <w:t xml:space="preserve">南侧331公路 </w:t>
      </w:r>
      <w:r>
        <w:rPr>
          <w:rFonts w:hint="eastAsia" w:ascii="Times New Roman" w:hAnsi="Times New Roman" w:eastAsia="宋体" w:cs="Times New Roman"/>
          <w:b/>
          <w:snapToGrid w:val="0"/>
          <w:color w:val="auto"/>
          <w:kern w:val="2"/>
          <w:sz w:val="24"/>
          <w:szCs w:val="24"/>
          <w:highlight w:val="none"/>
          <w:lang w:val="en-US" w:eastAsia="zh-CN" w:bidi="ar-SA"/>
        </w:rPr>
        <w:t xml:space="preserve">                                     </w:t>
      </w:r>
      <w:r>
        <w:rPr>
          <w:rFonts w:hint="eastAsia" w:cs="Times New Roman"/>
          <w:b/>
          <w:snapToGrid w:val="0"/>
          <w:color w:val="auto"/>
          <w:kern w:val="2"/>
          <w:sz w:val="24"/>
          <w:szCs w:val="24"/>
          <w:highlight w:val="none"/>
          <w:lang w:val="en-US" w:eastAsia="zh-CN" w:bidi="ar-SA"/>
        </w:rPr>
        <w:t xml:space="preserve">   </w:t>
      </w:r>
      <w:r>
        <w:rPr>
          <w:rFonts w:hint="eastAsia" w:ascii="Times New Roman" w:hAnsi="Times New Roman" w:eastAsia="宋体" w:cs="Times New Roman"/>
          <w:b/>
          <w:snapToGrid w:val="0"/>
          <w:color w:val="auto"/>
          <w:kern w:val="2"/>
          <w:sz w:val="24"/>
          <w:szCs w:val="24"/>
          <w:highlight w:val="none"/>
          <w:lang w:val="en-US" w:eastAsia="zh-CN" w:bidi="ar-SA"/>
        </w:rPr>
        <w:t xml:space="preserve">  </w:t>
      </w:r>
      <w:r>
        <w:rPr>
          <w:rFonts w:hint="eastAsia" w:cs="Times New Roman"/>
          <w:b/>
          <w:snapToGrid w:val="0"/>
          <w:color w:val="auto"/>
          <w:kern w:val="2"/>
          <w:sz w:val="24"/>
          <w:szCs w:val="24"/>
          <w:highlight w:val="none"/>
          <w:lang w:val="en-US" w:eastAsia="zh-CN" w:bidi="ar-SA"/>
        </w:rPr>
        <w:t xml:space="preserve"> </w:t>
      </w:r>
      <w:r>
        <w:rPr>
          <w:rFonts w:hint="eastAsia" w:ascii="Times New Roman" w:hAnsi="Times New Roman" w:eastAsia="宋体" w:cs="Times New Roman"/>
          <w:b/>
          <w:snapToGrid w:val="0"/>
          <w:color w:val="auto"/>
          <w:kern w:val="2"/>
          <w:sz w:val="24"/>
          <w:szCs w:val="24"/>
          <w:highlight w:val="none"/>
          <w:lang w:val="en-US" w:eastAsia="zh-CN" w:bidi="ar-SA"/>
        </w:rPr>
        <w:t>项目</w:t>
      </w:r>
      <w:r>
        <w:rPr>
          <w:rFonts w:hint="eastAsia" w:cs="Times New Roman"/>
          <w:b/>
          <w:snapToGrid w:val="0"/>
          <w:color w:val="auto"/>
          <w:kern w:val="2"/>
          <w:sz w:val="24"/>
          <w:szCs w:val="24"/>
          <w:highlight w:val="none"/>
          <w:lang w:val="en-US" w:eastAsia="zh-CN" w:bidi="ar-SA"/>
        </w:rPr>
        <w:t>东侧村屯</w:t>
      </w:r>
    </w:p>
    <w:p>
      <w:pPr>
        <w:pStyle w:val="81"/>
        <w:ind w:firstLine="0" w:firstLineChars="0"/>
        <w:jc w:val="both"/>
        <w:rPr>
          <w:rFonts w:hint="eastAsia" w:eastAsia="宋体"/>
          <w:snapToGrid w:val="0"/>
          <w:color w:val="auto"/>
          <w:highlight w:val="none"/>
          <w:lang w:eastAsia="zh-CN"/>
        </w:rPr>
      </w:pPr>
      <w:r>
        <w:rPr>
          <w:rFonts w:hint="eastAsia" w:eastAsia="宋体"/>
          <w:snapToGrid w:val="0"/>
          <w:color w:val="auto"/>
          <w:highlight w:val="none"/>
          <w:lang w:val="en-US" w:eastAsia="zh-CN"/>
        </w:rPr>
        <w:t xml:space="preserve">      </w:t>
      </w:r>
      <w:r>
        <w:rPr>
          <w:rFonts w:hint="eastAsia"/>
          <w:snapToGrid w:val="0"/>
          <w:color w:val="auto"/>
          <w:highlight w:val="none"/>
          <w:lang w:val="en-US" w:eastAsia="zh-CN"/>
        </w:rPr>
        <w:t xml:space="preserve">               </w:t>
      </w:r>
      <w:r>
        <w:rPr>
          <w:rFonts w:hint="eastAsia" w:eastAsia="宋体"/>
          <w:snapToGrid w:val="0"/>
          <w:color w:val="auto"/>
          <w:highlight w:val="none"/>
          <w:lang w:val="en-US" w:eastAsia="zh-CN"/>
        </w:rPr>
        <w:t xml:space="preserve">   </w:t>
      </w:r>
      <w:r>
        <w:rPr>
          <w:snapToGrid w:val="0"/>
          <w:color w:val="auto"/>
          <w:highlight w:val="none"/>
        </w:rPr>
        <w:drawing>
          <wp:inline distT="0" distB="0" distL="114300" distR="114300">
            <wp:extent cx="2847340" cy="2134870"/>
            <wp:effectExtent l="0" t="0" r="10160" b="17780"/>
            <wp:docPr id="8" name="图片 8" descr="b4471000a1dbffec65760e7f9515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4471000a1dbffec65760e7f9515bb5"/>
                    <pic:cNvPicPr>
                      <a:picLocks noChangeAspect="1"/>
                    </pic:cNvPicPr>
                  </pic:nvPicPr>
                  <pic:blipFill>
                    <a:blip r:embed="rId41"/>
                    <a:stretch>
                      <a:fillRect/>
                    </a:stretch>
                  </pic:blipFill>
                  <pic:spPr>
                    <a:xfrm>
                      <a:off x="0" y="0"/>
                      <a:ext cx="2847340" cy="2134870"/>
                    </a:xfrm>
                    <a:prstGeom prst="rect">
                      <a:avLst/>
                    </a:prstGeom>
                  </pic:spPr>
                </pic:pic>
              </a:graphicData>
            </a:graphic>
          </wp:inline>
        </w:drawing>
      </w:r>
      <w:r>
        <w:rPr>
          <w:rFonts w:hint="eastAsia" w:eastAsia="宋体"/>
          <w:snapToGrid w:val="0"/>
          <w:color w:val="auto"/>
          <w:highlight w:val="none"/>
          <w:lang w:eastAsia="zh-CN"/>
        </w:rPr>
        <w:drawing>
          <wp:inline distT="0" distB="0" distL="114300" distR="114300">
            <wp:extent cx="2859405" cy="2143760"/>
            <wp:effectExtent l="0" t="0" r="17145" b="8890"/>
            <wp:docPr id="9" name="图片 9" descr="effef03baf3b68a7762c5706456e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ffef03baf3b68a7762c5706456e8d0"/>
                    <pic:cNvPicPr>
                      <a:picLocks noChangeAspect="1"/>
                    </pic:cNvPicPr>
                  </pic:nvPicPr>
                  <pic:blipFill>
                    <a:blip r:embed="rId42"/>
                    <a:stretch>
                      <a:fillRect/>
                    </a:stretch>
                  </pic:blipFill>
                  <pic:spPr>
                    <a:xfrm>
                      <a:off x="0" y="0"/>
                      <a:ext cx="2859405" cy="2143760"/>
                    </a:xfrm>
                    <a:prstGeom prst="rect">
                      <a:avLst/>
                    </a:prstGeom>
                  </pic:spPr>
                </pic:pic>
              </a:graphicData>
            </a:graphic>
          </wp:inline>
        </w:drawing>
      </w:r>
    </w:p>
    <w:p>
      <w:pPr>
        <w:pStyle w:val="88"/>
        <w:keepNext w:val="0"/>
        <w:keepLines w:val="0"/>
        <w:pageBreakBefore w:val="0"/>
        <w:widowControl w:val="0"/>
        <w:kinsoku/>
        <w:wordWrap/>
        <w:overflowPunct/>
        <w:topLinePunct w:val="0"/>
        <w:autoSpaceDE/>
        <w:autoSpaceDN/>
        <w:bidi w:val="0"/>
        <w:adjustRightInd/>
        <w:snapToGrid/>
        <w:ind w:firstLine="1928" w:firstLineChars="800"/>
        <w:jc w:val="both"/>
        <w:textAlignment w:val="auto"/>
        <w:outlineLvl w:val="9"/>
        <w:rPr>
          <w:rFonts w:hint="default" w:eastAsia="宋体"/>
          <w:snapToGrid w:val="0"/>
          <w:color w:val="auto"/>
          <w:highlight w:val="none"/>
          <w:lang w:val="en-US" w:eastAsia="zh-CN"/>
        </w:rPr>
        <w:sectPr>
          <w:pgSz w:w="16838" w:h="11906" w:orient="landscape"/>
          <w:pgMar w:top="1304" w:right="1531" w:bottom="1304" w:left="1531" w:header="851" w:footer="851" w:gutter="0"/>
          <w:pgBorders>
            <w:top w:val="none" w:sz="0" w:space="0"/>
            <w:left w:val="none" w:sz="0" w:space="0"/>
            <w:bottom w:val="none" w:sz="0" w:space="0"/>
            <w:right w:val="none" w:sz="0" w:space="0"/>
          </w:pgBorders>
          <w:cols w:space="720" w:num="1"/>
          <w:docGrid w:linePitch="312" w:charSpace="0"/>
        </w:sectPr>
      </w:pPr>
      <w:r>
        <w:rPr>
          <w:rFonts w:hint="eastAsia"/>
          <w:snapToGrid w:val="0"/>
          <w:color w:val="auto"/>
          <w:highlight w:val="none"/>
        </w:rPr>
        <w:t>项目</w:t>
      </w:r>
      <w:r>
        <w:rPr>
          <w:rFonts w:hint="eastAsia"/>
          <w:snapToGrid w:val="0"/>
          <w:color w:val="auto"/>
          <w:highlight w:val="none"/>
          <w:lang w:eastAsia="zh-CN"/>
        </w:rPr>
        <w:t>西侧为农田</w:t>
      </w:r>
      <w:r>
        <w:rPr>
          <w:rFonts w:hint="eastAsia"/>
          <w:snapToGrid w:val="0"/>
          <w:color w:val="auto"/>
          <w:highlight w:val="none"/>
        </w:rPr>
        <w:t xml:space="preserve">                            </w:t>
      </w:r>
      <w:r>
        <w:rPr>
          <w:rFonts w:hint="eastAsia"/>
          <w:snapToGrid w:val="0"/>
          <w:color w:val="auto"/>
          <w:highlight w:val="none"/>
          <w:lang w:val="en-US" w:eastAsia="zh-CN"/>
        </w:rPr>
        <w:t xml:space="preserve">           </w:t>
      </w:r>
      <w:r>
        <w:rPr>
          <w:rFonts w:hint="eastAsia"/>
          <w:snapToGrid w:val="0"/>
          <w:color w:val="auto"/>
          <w:highlight w:val="none"/>
        </w:rPr>
        <w:t>项目</w:t>
      </w:r>
      <w:r>
        <w:rPr>
          <w:rFonts w:hint="eastAsia"/>
          <w:snapToGrid w:val="0"/>
          <w:color w:val="auto"/>
          <w:highlight w:val="none"/>
          <w:lang w:eastAsia="zh-CN"/>
        </w:rPr>
        <w:t>北侧农田</w:t>
      </w:r>
      <w:r>
        <w:rPr>
          <w:rFonts w:hint="eastAsia"/>
          <w:snapToGrid w:val="0"/>
          <w:color w:val="auto"/>
          <w:highlight w:val="none"/>
        </w:rPr>
        <w:t xml:space="preserve"> </w:t>
      </w:r>
    </w:p>
    <w:p>
      <w:pPr>
        <w:rPr>
          <w:rFonts w:hint="eastAsia"/>
          <w:color w:val="auto"/>
          <w:sz w:val="28"/>
          <w:szCs w:val="28"/>
          <w:highlight w:val="none"/>
        </w:rPr>
      </w:pPr>
    </w:p>
    <w:p>
      <w:pPr>
        <w:pStyle w:val="88"/>
        <w:outlineLvl w:val="0"/>
        <w:rPr>
          <w:color w:val="auto"/>
          <w:sz w:val="28"/>
          <w:szCs w:val="28"/>
          <w:highlight w:val="none"/>
        </w:rPr>
      </w:pPr>
      <w:bookmarkStart w:id="48" w:name="_Toc7988"/>
      <w:r>
        <w:rPr>
          <w:rFonts w:hint="eastAsia"/>
          <w:color w:val="auto"/>
          <w:sz w:val="28"/>
          <w:szCs w:val="28"/>
          <w:highlight w:val="none"/>
        </w:rPr>
        <w:t>附图</w:t>
      </w:r>
      <w:r>
        <w:rPr>
          <w:rFonts w:hint="default" w:ascii="Times New Roman" w:hAnsi="Times New Roman" w:cs="Times New Roman"/>
          <w:color w:val="auto"/>
          <w:sz w:val="28"/>
          <w:szCs w:val="28"/>
          <w:highlight w:val="none"/>
          <w:lang w:val="en-US" w:eastAsia="zh-CN"/>
        </w:rPr>
        <w:t>3</w:t>
      </w:r>
      <w:r>
        <w:rPr>
          <w:rFonts w:hint="eastAsia"/>
          <w:color w:val="auto"/>
          <w:sz w:val="28"/>
          <w:szCs w:val="28"/>
          <w:highlight w:val="none"/>
        </w:rPr>
        <w:t>：平面布置图</w:t>
      </w:r>
      <w:bookmarkEnd w:id="48"/>
    </w:p>
    <w:p>
      <w:pPr>
        <w:pStyle w:val="8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napToGrid w:val="0"/>
          <w:color w:val="auto"/>
          <w:highlight w:val="none"/>
          <w:lang w:eastAsia="zh-CN"/>
        </w:rPr>
      </w:pPr>
      <w:r>
        <w:rPr>
          <w:rFonts w:hint="eastAsia" w:eastAsia="宋体"/>
          <w:b/>
          <w:sz w:val="24"/>
          <w:lang w:eastAsia="zh-CN"/>
        </w:rPr>
        <w:drawing>
          <wp:inline distT="0" distB="0" distL="114300" distR="114300">
            <wp:extent cx="5271770" cy="2833370"/>
            <wp:effectExtent l="0" t="0" r="5080" b="5080"/>
            <wp:docPr id="1" name="图片 6" descr="c116cc12f1e2fba0c668e95554a2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c116cc12f1e2fba0c668e95554a2d9e"/>
                    <pic:cNvPicPr>
                      <a:picLocks noChangeAspect="1"/>
                    </pic:cNvPicPr>
                  </pic:nvPicPr>
                  <pic:blipFill>
                    <a:blip r:embed="rId43"/>
                    <a:stretch>
                      <a:fillRect/>
                    </a:stretch>
                  </pic:blipFill>
                  <pic:spPr>
                    <a:xfrm>
                      <a:off x="0" y="0"/>
                      <a:ext cx="5271770" cy="2833370"/>
                    </a:xfrm>
                    <a:prstGeom prst="rect">
                      <a:avLst/>
                    </a:prstGeom>
                    <a:noFill/>
                    <a:ln>
                      <a:noFill/>
                    </a:ln>
                  </pic:spPr>
                </pic:pic>
              </a:graphicData>
            </a:graphic>
          </wp:inline>
        </w:drawing>
      </w:r>
    </w:p>
    <w:p>
      <w:pPr>
        <w:pStyle w:val="13"/>
        <w:ind w:left="0" w:leftChars="0" w:firstLine="0" w:firstLineChars="0"/>
        <w:rPr>
          <w:rFonts w:hint="eastAsia" w:eastAsia="宋体"/>
          <w:color w:val="auto"/>
          <w:highlight w:val="none"/>
          <w:lang w:eastAsia="zh-CN"/>
        </w:rPr>
        <w:sectPr>
          <w:pgSz w:w="16838" w:h="11906" w:orient="landscape"/>
          <w:pgMar w:top="1304" w:right="1531" w:bottom="1304" w:left="1531" w:header="851" w:footer="851" w:gutter="0"/>
          <w:pgBorders>
            <w:top w:val="none" w:sz="0" w:space="0"/>
            <w:left w:val="none" w:sz="0" w:space="0"/>
            <w:bottom w:val="none" w:sz="0" w:space="0"/>
            <w:right w:val="none" w:sz="0" w:space="0"/>
          </w:pgBorders>
          <w:cols w:space="720" w:num="1"/>
          <w:docGrid w:linePitch="312" w:charSpace="0"/>
        </w:sectPr>
      </w:pPr>
    </w:p>
    <w:p>
      <w:pPr>
        <w:pStyle w:val="88"/>
        <w:outlineLvl w:val="0"/>
        <w:rPr>
          <w:rFonts w:hint="eastAsia" w:ascii="Times New Roman" w:hAnsi="Times New Roman" w:eastAsia="宋体" w:cs="Times New Roman"/>
          <w:color w:val="auto"/>
          <w:sz w:val="28"/>
          <w:szCs w:val="28"/>
          <w:highlight w:val="none"/>
          <w:lang w:val="en-US" w:eastAsia="zh-CN"/>
        </w:rPr>
      </w:pPr>
      <w:bookmarkStart w:id="49" w:name="_Toc10914"/>
      <w:r>
        <w:rPr>
          <w:rFonts w:hint="eastAsia" w:ascii="Times New Roman" w:hAnsi="Times New Roman" w:eastAsia="宋体" w:cs="Times New Roman"/>
          <w:color w:val="auto"/>
          <w:sz w:val="28"/>
          <w:szCs w:val="28"/>
          <w:highlight w:val="none"/>
          <w:lang w:eastAsia="zh-CN"/>
        </w:rPr>
        <w:t>附图</w:t>
      </w:r>
      <w:r>
        <w:rPr>
          <w:rFonts w:hint="default" w:ascii="Times New Roman" w:hAnsi="Times New Roman" w:cs="Times New Roman"/>
          <w:color w:val="auto"/>
          <w:sz w:val="28"/>
          <w:szCs w:val="28"/>
          <w:highlight w:val="none"/>
          <w:lang w:val="en-US" w:eastAsia="zh-CN"/>
        </w:rPr>
        <w:t>4</w:t>
      </w:r>
      <w:r>
        <w:rPr>
          <w:rFonts w:hint="eastAsia" w:ascii="Times New Roman" w:hAnsi="Times New Roman" w:eastAsia="宋体" w:cs="Times New Roman"/>
          <w:color w:val="auto"/>
          <w:sz w:val="28"/>
          <w:szCs w:val="28"/>
          <w:highlight w:val="none"/>
          <w:lang w:val="en-US" w:eastAsia="zh-CN"/>
        </w:rPr>
        <w:t>：项目评价范围图</w:t>
      </w:r>
      <w:bookmarkEnd w:id="49"/>
    </w:p>
    <w:p>
      <w:pPr>
        <w:pStyle w:val="88"/>
        <w:keepNext w:val="0"/>
        <w:keepLines w:val="0"/>
        <w:pageBreakBefore w:val="0"/>
        <w:widowControl w:val="0"/>
        <w:kinsoku/>
        <w:wordWrap/>
        <w:overflowPunct/>
        <w:topLinePunct w:val="0"/>
        <w:autoSpaceDE/>
        <w:autoSpaceDN/>
        <w:bidi w:val="0"/>
        <w:adjustRightInd/>
        <w:snapToGrid/>
        <w:textAlignment w:val="auto"/>
        <w:outlineLvl w:val="9"/>
        <w:rPr>
          <w:rFonts w:hint="eastAsia" w:eastAsia="宋体"/>
          <w:snapToGrid w:val="0"/>
          <w:color w:val="auto"/>
          <w:sz w:val="28"/>
          <w:highlight w:val="none"/>
          <w:lang w:eastAsia="zh-CN"/>
        </w:rPr>
      </w:pPr>
      <w:r>
        <w:rPr>
          <w:sz w:val="28"/>
        </w:rPr>
        <mc:AlternateContent>
          <mc:Choice Requires="wps">
            <w:drawing>
              <wp:anchor distT="0" distB="0" distL="114300" distR="114300" simplePos="0" relativeHeight="251662336" behindDoc="0" locked="0" layoutInCell="1" allowOverlap="1">
                <wp:simplePos x="0" y="0"/>
                <wp:positionH relativeFrom="column">
                  <wp:posOffset>4210050</wp:posOffset>
                </wp:positionH>
                <wp:positionV relativeFrom="paragraph">
                  <wp:posOffset>4104640</wp:posOffset>
                </wp:positionV>
                <wp:extent cx="190500" cy="9525"/>
                <wp:effectExtent l="0" t="6350" r="19050" b="12700"/>
                <wp:wrapNone/>
                <wp:docPr id="17" name="直接连接符 17"/>
                <wp:cNvGraphicFramePr/>
                <a:graphic xmlns:a="http://schemas.openxmlformats.org/drawingml/2006/main">
                  <a:graphicData uri="http://schemas.microsoft.com/office/word/2010/wordprocessingShape">
                    <wps:wsp>
                      <wps:cNvCnPr/>
                      <wps:spPr>
                        <a:xfrm flipV="1">
                          <a:off x="5290185" y="5314315"/>
                          <a:ext cx="190500" cy="9525"/>
                        </a:xfrm>
                        <a:prstGeom prst="line">
                          <a:avLst/>
                        </a:prstGeom>
                        <a:ln>
                          <a:solidFill>
                            <a:srgbClr val="FCCA76"/>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331.5pt;margin-top:323.2pt;height:0.75pt;width:15pt;z-index:251662336;mso-width-relative:page;mso-height-relative:page;" filled="f" stroked="t" coordsize="21600,21600" o:gfxdata="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VBKMvXAAAA&#10;CwEAAA8AAAAAAAAAAQAgAAAAIgAAAGRycy9kb3ducmV2LnhtbFBLAQIUABQAAAAIAIdO4kAdyH7l&#10;5QEAAH4DAAAOAAAAAAAAAAEAIAAAACYBAABkcnMvZTJvRG9jLnhtbFBLBQYAAAAABgAGAFkBAAB9&#10;BQAAAAA=&#10;">
                <v:fill on="f" focussize="0,0"/>
                <v:stroke weight="1pt" color="#FCCA76 [3204]" miterlimit="8" joinstyle="miter"/>
                <v:imagedata o:title=""/>
                <o:lock v:ext="edit" aspectratio="f"/>
              </v:lin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4229100</wp:posOffset>
                </wp:positionH>
                <wp:positionV relativeFrom="paragraph">
                  <wp:posOffset>3933190</wp:posOffset>
                </wp:positionV>
                <wp:extent cx="142875" cy="76200"/>
                <wp:effectExtent l="6350" t="6350" r="22225" b="12700"/>
                <wp:wrapNone/>
                <wp:docPr id="16" name="矩形 16"/>
                <wp:cNvGraphicFramePr/>
                <a:graphic xmlns:a="http://schemas.openxmlformats.org/drawingml/2006/main">
                  <a:graphicData uri="http://schemas.microsoft.com/office/word/2010/wordprocessingShape">
                    <wps:wsp>
                      <wps:cNvSpPr/>
                      <wps:spPr>
                        <a:xfrm>
                          <a:off x="5309235" y="5142865"/>
                          <a:ext cx="142875" cy="76200"/>
                        </a:xfrm>
                        <a:prstGeom prst="rect">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pt;margin-top:309.7pt;height:6pt;width:11.25pt;z-index:251661312;v-text-anchor:middle;mso-width-relative:page;mso-height-relative:page;" fillcolor="#FF0000" filled="t" stroked="t" coordsize="21600,21600" o:gfxdata="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trhK3Y&#10;AAAACwEAAA8AAAAAAAAAAQAgAAAAIgAAAGRycy9kb3ducmV2LnhtbFBLAQIUABQAAAAIAIdO4kAC&#10;rRwcWQIAALIEAAAOAAAAAAAAAAEAIAAAACcBAABkcnMvZTJvRG9jLnhtbFBLBQYAAAAABgAGAFkB&#10;AADyBQAAAAA=&#10;">
                <v:fill on="t" focussize="0,0"/>
                <v:stroke weight="1pt" color="#FF0000 [2404]" miterlimit="8" joinstyle="miter"/>
                <v:imagedata o:title=""/>
                <o:lock v:ext="edit" aspectratio="f"/>
              </v:rect>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4086860</wp:posOffset>
                </wp:positionH>
                <wp:positionV relativeFrom="paragraph">
                  <wp:posOffset>3656965</wp:posOffset>
                </wp:positionV>
                <wp:extent cx="1323340" cy="1000125"/>
                <wp:effectExtent l="5080" t="4445" r="5080" b="5080"/>
                <wp:wrapNone/>
                <wp:docPr id="15" name="文本框 15"/>
                <wp:cNvGraphicFramePr/>
                <a:graphic xmlns:a="http://schemas.openxmlformats.org/drawingml/2006/main">
                  <a:graphicData uri="http://schemas.microsoft.com/office/word/2010/wordprocessingShape">
                    <wps:wsp>
                      <wps:cNvSpPr txBox="1"/>
                      <wps:spPr>
                        <a:xfrm>
                          <a:off x="5394960" y="4323715"/>
                          <a:ext cx="132334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图例</w:t>
                            </w:r>
                          </w:p>
                          <w:p>
                            <w:pPr>
                              <w:ind w:firstLine="420" w:firstLineChars="200"/>
                              <w:rPr>
                                <w:rFonts w:hint="eastAsia"/>
                                <w:lang w:eastAsia="zh-CN"/>
                              </w:rPr>
                            </w:pPr>
                            <w:r>
                              <w:rPr>
                                <w:rFonts w:hint="eastAsia"/>
                                <w:lang w:eastAsia="zh-CN"/>
                              </w:rPr>
                              <w:t>厂界</w:t>
                            </w:r>
                          </w:p>
                          <w:p>
                            <w:pPr>
                              <w:ind w:firstLine="420" w:firstLineChars="200"/>
                              <w:rPr>
                                <w:rFonts w:hint="eastAsia"/>
                                <w:lang w:val="en-US" w:eastAsia="zh-CN"/>
                              </w:rPr>
                            </w:pPr>
                            <w:r>
                              <w:rPr>
                                <w:rFonts w:hint="eastAsia"/>
                                <w:lang w:eastAsia="zh-CN"/>
                              </w:rPr>
                              <w:t>厂界</w:t>
                            </w:r>
                            <w:r>
                              <w:rPr>
                                <w:rFonts w:hint="eastAsia"/>
                                <w:lang w:val="en-US" w:eastAsia="zh-CN"/>
                              </w:rPr>
                              <w:t>50m范围</w:t>
                            </w:r>
                          </w:p>
                          <w:p>
                            <w:pPr>
                              <w:ind w:firstLine="420" w:firstLineChars="200"/>
                              <w:rPr>
                                <w:rFonts w:hint="default"/>
                                <w:lang w:val="en-US" w:eastAsia="zh-CN"/>
                              </w:rPr>
                            </w:pPr>
                            <w:r>
                              <w:rPr>
                                <w:rFonts w:hint="eastAsia"/>
                                <w:lang w:val="en-US" w:eastAsia="zh-CN"/>
                              </w:rPr>
                              <w:t>厂界500m范围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8pt;margin-top:287.95pt;height:78.75pt;width:104.2pt;z-index:251660288;mso-width-relative:page;mso-height-relative:page;" fillcolor="#FFFFFF [3201]" filled="t" stroked="t" coordsize="21600,21600" o:gfxdata="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CkHKQ2QAAAAsBAAAPAAAAAAAA&#10;AAEAIAAAACIAAABkcnMvZG93bnJldi54bWxQSwECFAAUAAAACACHTuJA8ZEWcEoCAAB4BAAADgAA&#10;AAAAAAABACAAAAAoAQAAZHJzL2Uyb0RvYy54bWxQSwUGAAAAAAYABgBZAQAA5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图例</w:t>
                      </w:r>
                    </w:p>
                    <w:p>
                      <w:pPr>
                        <w:ind w:firstLine="420" w:firstLineChars="200"/>
                        <w:rPr>
                          <w:rFonts w:hint="eastAsia"/>
                          <w:lang w:eastAsia="zh-CN"/>
                        </w:rPr>
                      </w:pPr>
                      <w:r>
                        <w:rPr>
                          <w:rFonts w:hint="eastAsia"/>
                          <w:lang w:eastAsia="zh-CN"/>
                        </w:rPr>
                        <w:t>厂界</w:t>
                      </w:r>
                    </w:p>
                    <w:p>
                      <w:pPr>
                        <w:ind w:firstLine="420" w:firstLineChars="200"/>
                        <w:rPr>
                          <w:rFonts w:hint="eastAsia"/>
                          <w:lang w:val="en-US" w:eastAsia="zh-CN"/>
                        </w:rPr>
                      </w:pPr>
                      <w:r>
                        <w:rPr>
                          <w:rFonts w:hint="eastAsia"/>
                          <w:lang w:eastAsia="zh-CN"/>
                        </w:rPr>
                        <w:t>厂界</w:t>
                      </w:r>
                      <w:r>
                        <w:rPr>
                          <w:rFonts w:hint="eastAsia"/>
                          <w:lang w:val="en-US" w:eastAsia="zh-CN"/>
                        </w:rPr>
                        <w:t>50m范围</w:t>
                      </w:r>
                    </w:p>
                    <w:p>
                      <w:pPr>
                        <w:ind w:firstLine="420" w:firstLineChars="200"/>
                        <w:rPr>
                          <w:rFonts w:hint="default"/>
                          <w:lang w:val="en-US" w:eastAsia="zh-CN"/>
                        </w:rPr>
                      </w:pPr>
                      <w:r>
                        <w:rPr>
                          <w:rFonts w:hint="eastAsia"/>
                          <w:lang w:val="en-US" w:eastAsia="zh-CN"/>
                        </w:rPr>
                        <w:t>厂界500m范围</w:t>
                      </w:r>
                    </w:p>
                  </w:txbxContent>
                </v:textbox>
              </v:shape>
            </w:pict>
          </mc:Fallback>
        </mc:AlternateContent>
      </w:r>
      <w:r>
        <w:rPr>
          <w:rFonts w:hint="eastAsia" w:eastAsia="宋体"/>
          <w:snapToGrid w:val="0"/>
          <w:color w:val="auto"/>
          <w:sz w:val="28"/>
          <w:highlight w:val="none"/>
          <w:lang w:eastAsia="zh-CN"/>
        </w:rPr>
        <w:drawing>
          <wp:inline distT="0" distB="0" distL="114300" distR="114300">
            <wp:extent cx="5396865" cy="4116070"/>
            <wp:effectExtent l="0" t="0" r="13335" b="17780"/>
            <wp:docPr id="12" name="图片 12" descr="034b03d2a41a9711d4298b00d94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34b03d2a41a9711d4298b00d947097"/>
                    <pic:cNvPicPr>
                      <a:picLocks noChangeAspect="1"/>
                    </pic:cNvPicPr>
                  </pic:nvPicPr>
                  <pic:blipFill>
                    <a:blip r:embed="rId44"/>
                    <a:stretch>
                      <a:fillRect/>
                    </a:stretch>
                  </pic:blipFill>
                  <pic:spPr>
                    <a:xfrm>
                      <a:off x="0" y="0"/>
                      <a:ext cx="5396865" cy="4116070"/>
                    </a:xfrm>
                    <a:prstGeom prst="rect">
                      <a:avLst/>
                    </a:prstGeom>
                  </pic:spPr>
                </pic:pic>
              </a:graphicData>
            </a:graphic>
          </wp:inline>
        </w:drawing>
      </w:r>
    </w:p>
    <w:p>
      <w:pPr>
        <w:pStyle w:val="88"/>
        <w:keepNext w:val="0"/>
        <w:keepLines w:val="0"/>
        <w:pageBreakBefore w:val="0"/>
        <w:widowControl w:val="0"/>
        <w:kinsoku/>
        <w:wordWrap/>
        <w:overflowPunct/>
        <w:topLinePunct w:val="0"/>
        <w:autoSpaceDE/>
        <w:autoSpaceDN/>
        <w:bidi w:val="0"/>
        <w:adjustRightInd/>
        <w:snapToGrid/>
        <w:textAlignment w:val="auto"/>
        <w:outlineLvl w:val="9"/>
        <w:rPr>
          <w:rFonts w:hint="default" w:eastAsia="宋体"/>
          <w:snapToGrid w:val="0"/>
          <w:color w:val="auto"/>
          <w:sz w:val="28"/>
          <w:highlight w:val="none"/>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4210050</wp:posOffset>
                </wp:positionH>
                <wp:positionV relativeFrom="paragraph">
                  <wp:posOffset>49530</wp:posOffset>
                </wp:positionV>
                <wp:extent cx="200025" cy="0"/>
                <wp:effectExtent l="0" t="6350" r="0" b="6350"/>
                <wp:wrapNone/>
                <wp:docPr id="18" name="直接连接符 18"/>
                <wp:cNvGraphicFramePr/>
                <a:graphic xmlns:a="http://schemas.openxmlformats.org/drawingml/2006/main">
                  <a:graphicData uri="http://schemas.microsoft.com/office/word/2010/wordprocessingShape">
                    <wps:wsp>
                      <wps:cNvCnPr/>
                      <wps:spPr>
                        <a:xfrm>
                          <a:off x="5290185" y="5495290"/>
                          <a:ext cx="200025" cy="0"/>
                        </a:xfrm>
                        <a:prstGeom prst="line">
                          <a:avLst/>
                        </a:prstGeom>
                        <a:ln>
                          <a:solidFill>
                            <a:srgbClr val="B89EEF"/>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31.5pt;margin-top:3.9pt;height:0pt;width:15.75pt;z-index:251663360;mso-width-relative:page;mso-height-relative:page;" filled="f" stroked="t" coordsize="21600,21600" o:gfxdata="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MJrO1wAAAAcBAAAPAAAAAAAA&#10;AAEAIAAAACIAAABkcnMvZG93bnJldi54bWxQSwECFAAUAAAACACHTuJAkdmBhdoBAABxAwAADgAA&#10;AAAAAAABACAAAAAmAQAAZHJzL2Uyb0RvYy54bWxQSwUGAAAAAAYABgBZAQAAcgUAAAAA&#10;">
                <v:fill on="f" focussize="0,0"/>
                <v:stroke weight="1pt" color="#B89EEF [3204]" miterlimit="8" joinstyle="miter"/>
                <v:imagedata o:title=""/>
                <o:lock v:ext="edit" aspectratio="f"/>
              </v:line>
            </w:pict>
          </mc:Fallback>
        </mc:AlternateContent>
      </w:r>
    </w:p>
    <w:p>
      <w:pPr>
        <w:keepNext/>
        <w:keepLines w:val="0"/>
        <w:pageBreakBefore w:val="0"/>
        <w:widowControl w:val="0"/>
        <w:kinsoku/>
        <w:wordWrap/>
        <w:overflowPunct w:val="0"/>
        <w:topLinePunct w:val="0"/>
        <w:autoSpaceDE/>
        <w:autoSpaceDN/>
        <w:bidi w:val="0"/>
        <w:adjustRightInd/>
        <w:snapToGrid/>
        <w:spacing w:before="0" w:after="0" w:line="360" w:lineRule="auto"/>
        <w:ind w:left="0" w:firstLine="0"/>
        <w:textAlignment w:val="auto"/>
        <w:outlineLvl w:val="9"/>
        <w:rPr>
          <w:rFonts w:eastAsia="宋体"/>
          <w:snapToGrid w:val="0"/>
          <w:color w:val="auto"/>
          <w:sz w:val="28"/>
          <w:highlight w:val="none"/>
        </w:rPr>
      </w:pPr>
    </w:p>
    <w:p>
      <w:pPr>
        <w:pStyle w:val="30"/>
        <w:keepLines w:val="0"/>
        <w:pageBreakBefore w:val="0"/>
        <w:widowControl w:val="0"/>
        <w:kinsoku/>
        <w:wordWrap/>
        <w:topLinePunct w:val="0"/>
        <w:autoSpaceDE/>
        <w:autoSpaceDN/>
        <w:bidi w:val="0"/>
        <w:adjustRightInd/>
        <w:snapToGrid/>
        <w:spacing w:after="0"/>
        <w:ind w:firstLine="0" w:firstLineChars="0"/>
        <w:textAlignment w:val="auto"/>
        <w:rPr>
          <w:rFonts w:eastAsia="宋体"/>
          <w:snapToGrid w:val="0"/>
          <w:color w:val="auto"/>
          <w:sz w:val="28"/>
          <w:highlight w:val="none"/>
        </w:rPr>
      </w:pPr>
    </w:p>
    <w:p>
      <w:pPr>
        <w:keepLines w:val="0"/>
        <w:pageBreakBefore w:val="0"/>
        <w:widowControl w:val="0"/>
        <w:kinsoku/>
        <w:wordWrap/>
        <w:topLinePunct w:val="0"/>
        <w:autoSpaceDE/>
        <w:autoSpaceDN/>
        <w:bidi w:val="0"/>
        <w:adjustRightInd/>
        <w:snapToGrid/>
        <w:ind w:firstLine="0" w:firstLineChars="0"/>
        <w:textAlignment w:val="auto"/>
        <w:rPr>
          <w:rFonts w:eastAsia="宋体"/>
          <w:snapToGrid w:val="0"/>
          <w:color w:val="auto"/>
          <w:sz w:val="28"/>
          <w:highlight w:val="none"/>
        </w:rPr>
      </w:pPr>
    </w:p>
    <w:p>
      <w:pPr>
        <w:pStyle w:val="30"/>
        <w:keepLines w:val="0"/>
        <w:pageBreakBefore w:val="0"/>
        <w:widowControl w:val="0"/>
        <w:kinsoku/>
        <w:wordWrap/>
        <w:topLinePunct w:val="0"/>
        <w:autoSpaceDE/>
        <w:autoSpaceDN/>
        <w:bidi w:val="0"/>
        <w:adjustRightInd/>
        <w:snapToGrid/>
        <w:spacing w:after="0"/>
        <w:ind w:firstLine="0" w:firstLineChars="0"/>
        <w:textAlignment w:val="auto"/>
        <w:rPr>
          <w:rFonts w:eastAsia="宋体"/>
          <w:snapToGrid w:val="0"/>
          <w:color w:val="auto"/>
          <w:sz w:val="28"/>
          <w:highlight w:val="none"/>
        </w:rPr>
      </w:pPr>
    </w:p>
    <w:p>
      <w:pPr>
        <w:keepLines w:val="0"/>
        <w:pageBreakBefore w:val="0"/>
        <w:widowControl w:val="0"/>
        <w:kinsoku/>
        <w:wordWrap/>
        <w:topLinePunct w:val="0"/>
        <w:autoSpaceDE/>
        <w:autoSpaceDN/>
        <w:bidi w:val="0"/>
        <w:adjustRightInd/>
        <w:snapToGrid/>
        <w:ind w:firstLine="0" w:firstLineChars="0"/>
        <w:textAlignment w:val="auto"/>
        <w:rPr>
          <w:color w:val="auto"/>
          <w:highlight w:val="none"/>
        </w:rPr>
      </w:pPr>
    </w:p>
    <w:p>
      <w:pPr>
        <w:keepNext/>
        <w:keepLines w:val="0"/>
        <w:pageBreakBefore w:val="0"/>
        <w:widowControl w:val="0"/>
        <w:kinsoku/>
        <w:wordWrap/>
        <w:overflowPunct w:val="0"/>
        <w:topLinePunct w:val="0"/>
        <w:autoSpaceDE/>
        <w:autoSpaceDN/>
        <w:bidi w:val="0"/>
        <w:adjustRightInd/>
        <w:snapToGrid/>
        <w:spacing w:before="0" w:line="360" w:lineRule="auto"/>
        <w:ind w:left="0" w:firstLine="0" w:firstLineChars="0"/>
        <w:textAlignment w:val="auto"/>
        <w:outlineLvl w:val="9"/>
        <w:rPr>
          <w:rFonts w:eastAsia="宋体"/>
          <w:snapToGrid w:val="0"/>
          <w:color w:val="auto"/>
          <w:sz w:val="28"/>
          <w:highlight w:val="none"/>
        </w:rPr>
      </w:pPr>
    </w:p>
    <w:p>
      <w:pPr>
        <w:pStyle w:val="30"/>
        <w:keepLines w:val="0"/>
        <w:pageBreakBefore w:val="0"/>
        <w:widowControl w:val="0"/>
        <w:kinsoku/>
        <w:wordWrap/>
        <w:topLinePunct w:val="0"/>
        <w:autoSpaceDE/>
        <w:autoSpaceDN/>
        <w:bidi w:val="0"/>
        <w:adjustRightInd/>
        <w:snapToGrid/>
        <w:textAlignment w:val="auto"/>
        <w:rPr>
          <w:rFonts w:eastAsia="宋体"/>
          <w:snapToGrid w:val="0"/>
          <w:color w:val="auto"/>
          <w:sz w:val="28"/>
          <w:highlight w:val="none"/>
        </w:rPr>
      </w:pPr>
    </w:p>
    <w:p>
      <w:pPr>
        <w:keepLines w:val="0"/>
        <w:pageBreakBefore w:val="0"/>
        <w:widowControl w:val="0"/>
        <w:kinsoku/>
        <w:wordWrap/>
        <w:topLinePunct w:val="0"/>
        <w:autoSpaceDE/>
        <w:autoSpaceDN/>
        <w:bidi w:val="0"/>
        <w:adjustRightInd/>
        <w:snapToGrid/>
        <w:textAlignment w:val="auto"/>
        <w:rPr>
          <w:rFonts w:eastAsia="宋体"/>
          <w:snapToGrid w:val="0"/>
          <w:color w:val="auto"/>
          <w:sz w:val="28"/>
          <w:highlight w:val="none"/>
        </w:rPr>
      </w:pPr>
    </w:p>
    <w:p>
      <w:pPr>
        <w:pStyle w:val="30"/>
        <w:keepLines w:val="0"/>
        <w:pageBreakBefore w:val="0"/>
        <w:widowControl w:val="0"/>
        <w:kinsoku/>
        <w:wordWrap/>
        <w:topLinePunct w:val="0"/>
        <w:autoSpaceDE/>
        <w:autoSpaceDN/>
        <w:bidi w:val="0"/>
        <w:adjustRightInd/>
        <w:snapToGrid/>
        <w:textAlignment w:val="auto"/>
        <w:rPr>
          <w:rFonts w:eastAsia="宋体"/>
          <w:snapToGrid w:val="0"/>
          <w:color w:val="auto"/>
          <w:sz w:val="28"/>
          <w:highlight w:val="none"/>
        </w:rPr>
      </w:pPr>
    </w:p>
    <w:p>
      <w:pPr>
        <w:keepLines w:val="0"/>
        <w:pageBreakBefore w:val="0"/>
        <w:widowControl w:val="0"/>
        <w:kinsoku/>
        <w:wordWrap/>
        <w:topLinePunct w:val="0"/>
        <w:autoSpaceDE/>
        <w:autoSpaceDN/>
        <w:bidi w:val="0"/>
        <w:adjustRightInd/>
        <w:snapToGrid/>
        <w:textAlignment w:val="auto"/>
        <w:rPr>
          <w:color w:val="auto"/>
          <w:highlight w:val="none"/>
        </w:rPr>
      </w:pPr>
    </w:p>
    <w:p>
      <w:pPr>
        <w:keepLines w:val="0"/>
        <w:pageBreakBefore w:val="0"/>
        <w:widowControl w:val="0"/>
        <w:kinsoku/>
        <w:wordWrap/>
        <w:topLinePunct w:val="0"/>
        <w:autoSpaceDE/>
        <w:autoSpaceDN/>
        <w:bidi w:val="0"/>
        <w:adjustRightInd/>
        <w:snapToGrid/>
        <w:textAlignment w:val="auto"/>
        <w:rPr>
          <w:color w:val="auto"/>
          <w:highlight w:val="none"/>
        </w:rPr>
      </w:pPr>
    </w:p>
    <w:p>
      <w:pPr>
        <w:keepLines w:val="0"/>
        <w:pageBreakBefore w:val="0"/>
        <w:widowControl w:val="0"/>
        <w:kinsoku/>
        <w:wordWrap/>
        <w:topLinePunct w:val="0"/>
        <w:autoSpaceDE/>
        <w:autoSpaceDN/>
        <w:bidi w:val="0"/>
        <w:adjustRightInd/>
        <w:snapToGrid/>
        <w:textAlignment w:val="auto"/>
        <w:rPr>
          <w:color w:val="auto"/>
          <w:highlight w:val="none"/>
        </w:rPr>
      </w:pPr>
    </w:p>
    <w:p>
      <w:pPr>
        <w:rPr>
          <w:color w:val="auto"/>
          <w:highlight w:val="none"/>
        </w:rPr>
      </w:pPr>
    </w:p>
    <w:p>
      <w:pPr>
        <w:rPr>
          <w:rFonts w:eastAsia="宋体"/>
          <w:snapToGrid w:val="0"/>
          <w:color w:val="auto"/>
          <w:sz w:val="28"/>
          <w:highlight w:val="none"/>
        </w:rPr>
      </w:pPr>
      <w:r>
        <w:rPr>
          <w:rFonts w:eastAsia="宋体"/>
          <w:snapToGrid w:val="0"/>
          <w:color w:val="auto"/>
          <w:sz w:val="28"/>
          <w:highlight w:val="none"/>
        </w:rPr>
        <w:br w:type="page"/>
      </w:r>
    </w:p>
    <w:p>
      <w:pPr>
        <w:pStyle w:val="2"/>
        <w:spacing w:before="0" w:after="0" w:line="360" w:lineRule="auto"/>
        <w:ind w:left="0" w:firstLine="0"/>
        <w:rPr>
          <w:rFonts w:eastAsia="宋体"/>
          <w:snapToGrid w:val="0"/>
          <w:color w:val="auto"/>
          <w:sz w:val="32"/>
          <w:szCs w:val="32"/>
          <w:highlight w:val="none"/>
        </w:rPr>
      </w:pPr>
      <w:bookmarkStart w:id="50" w:name="_Toc29578"/>
      <w:r>
        <w:rPr>
          <w:rFonts w:eastAsia="宋体"/>
          <w:snapToGrid w:val="0"/>
          <w:color w:val="auto"/>
          <w:sz w:val="28"/>
          <w:highlight w:val="none"/>
        </w:rPr>
        <w:t>附件</w:t>
      </w:r>
      <w:bookmarkEnd w:id="50"/>
    </w:p>
    <w:p>
      <w:pPr>
        <w:pStyle w:val="88"/>
        <w:outlineLvl w:val="0"/>
        <w:rPr>
          <w:color w:val="auto"/>
          <w:sz w:val="28"/>
          <w:szCs w:val="28"/>
          <w:highlight w:val="none"/>
        </w:rPr>
      </w:pPr>
      <w:bookmarkStart w:id="51" w:name="_Toc3309"/>
      <w:bookmarkStart w:id="52" w:name="_Hlk68104001"/>
      <w:r>
        <w:rPr>
          <w:color w:val="auto"/>
          <w:sz w:val="28"/>
          <w:szCs w:val="28"/>
          <w:highlight w:val="none"/>
        </w:rPr>
        <w:t>附件</w:t>
      </w:r>
      <w:r>
        <w:rPr>
          <w:rFonts w:hint="default" w:ascii="Times New Roman" w:hAnsi="Times New Roman" w:cs="Times New Roman"/>
          <w:color w:val="auto"/>
          <w:sz w:val="28"/>
          <w:szCs w:val="28"/>
          <w:highlight w:val="none"/>
        </w:rPr>
        <w:t>1</w:t>
      </w:r>
      <w:r>
        <w:rPr>
          <w:color w:val="auto"/>
          <w:sz w:val="28"/>
          <w:szCs w:val="28"/>
          <w:highlight w:val="none"/>
        </w:rPr>
        <w:t>：营业执照</w:t>
      </w:r>
      <w:bookmarkEnd w:id="51"/>
      <w:bookmarkEnd w:id="52"/>
    </w:p>
    <w:p>
      <w:pPr>
        <w:jc w:val="center"/>
        <w:rPr>
          <w:rFonts w:hint="eastAsia" w:eastAsia="宋体"/>
          <w:color w:val="auto"/>
          <w:highlight w:val="none"/>
          <w:lang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eastAsia="微软雅黑"/>
          <w:color w:val="auto"/>
          <w:highlight w:val="none"/>
          <w:lang w:eastAsia="zh-CN"/>
        </w:rPr>
        <w:sectPr>
          <w:pgSz w:w="11906" w:h="16838"/>
          <w:pgMar w:top="1361" w:right="1701" w:bottom="1247" w:left="1701" w:header="851" w:footer="851" w:gutter="0"/>
          <w:pgBorders>
            <w:top w:val="none" w:sz="0" w:space="0"/>
            <w:left w:val="none" w:sz="0" w:space="0"/>
            <w:bottom w:val="none" w:sz="0" w:space="0"/>
            <w:right w:val="none" w:sz="0" w:space="0"/>
          </w:pgBorders>
          <w:cols w:space="720" w:num="1"/>
          <w:docGrid w:linePitch="312" w:charSpace="0"/>
        </w:sectPr>
      </w:pPr>
    </w:p>
    <w:p>
      <w:pPr>
        <w:pStyle w:val="88"/>
        <w:outlineLvl w:val="0"/>
        <w:rPr>
          <w:rFonts w:hint="eastAsia"/>
          <w:color w:val="auto"/>
          <w:highlight w:val="none"/>
          <w:lang w:eastAsia="zh-CN"/>
        </w:rPr>
      </w:pPr>
      <w:bookmarkStart w:id="53" w:name="_Toc866"/>
      <w:r>
        <w:rPr>
          <w:color w:val="auto"/>
          <w:sz w:val="28"/>
          <w:szCs w:val="28"/>
          <w:highlight w:val="none"/>
        </w:rPr>
        <w:t>附件</w:t>
      </w:r>
      <w:r>
        <w:rPr>
          <w:rFonts w:hint="default" w:ascii="Times New Roman" w:hAnsi="Times New Roman" w:cs="Times New Roman"/>
          <w:color w:val="auto"/>
          <w:sz w:val="28"/>
          <w:szCs w:val="28"/>
          <w:highlight w:val="none"/>
          <w:lang w:val="en-US" w:eastAsia="zh-CN"/>
        </w:rPr>
        <w:t>2</w:t>
      </w:r>
      <w:r>
        <w:rPr>
          <w:color w:val="auto"/>
          <w:sz w:val="28"/>
          <w:szCs w:val="28"/>
          <w:highlight w:val="none"/>
        </w:rPr>
        <w:t>：</w:t>
      </w:r>
      <w:r>
        <w:rPr>
          <w:rFonts w:hint="eastAsia"/>
          <w:color w:val="auto"/>
          <w:sz w:val="28"/>
          <w:szCs w:val="28"/>
          <w:highlight w:val="none"/>
          <w:lang w:eastAsia="zh-CN"/>
        </w:rPr>
        <w:t>土地</w:t>
      </w:r>
      <w:r>
        <w:rPr>
          <w:rFonts w:hint="eastAsia"/>
          <w:color w:val="auto"/>
          <w:sz w:val="28"/>
          <w:szCs w:val="28"/>
          <w:highlight w:val="none"/>
          <w:lang w:val="en-US" w:eastAsia="zh-CN"/>
        </w:rPr>
        <w:t>手续</w:t>
      </w:r>
      <w:bookmarkEnd w:id="53"/>
    </w:p>
    <w:p>
      <w:pPr>
        <w:pStyle w:val="88"/>
        <w:keepNext w:val="0"/>
        <w:keepLines w:val="0"/>
        <w:pageBreakBefore w:val="0"/>
        <w:widowControl w:val="0"/>
        <w:kinsoku/>
        <w:wordWrap/>
        <w:overflowPunct/>
        <w:topLinePunct w:val="0"/>
        <w:autoSpaceDE/>
        <w:autoSpaceDN/>
        <w:bidi w:val="0"/>
        <w:adjustRightInd/>
        <w:snapToGrid/>
        <w:textAlignment w:val="auto"/>
        <w:outlineLvl w:val="9"/>
        <w:rPr>
          <w:rFonts w:hint="eastAsia"/>
          <w:color w:val="auto"/>
          <w:highlight w:val="none"/>
          <w:lang w:eastAsia="zh-CN"/>
        </w:rPr>
      </w:pPr>
    </w:p>
    <w:p>
      <w:pPr>
        <w:pStyle w:val="88"/>
        <w:keepNext w:val="0"/>
        <w:keepLines w:val="0"/>
        <w:pageBreakBefore w:val="0"/>
        <w:widowControl w:val="0"/>
        <w:kinsoku/>
        <w:wordWrap/>
        <w:overflowPunct/>
        <w:topLinePunct w:val="0"/>
        <w:autoSpaceDE/>
        <w:autoSpaceDN/>
        <w:bidi w:val="0"/>
        <w:adjustRightInd/>
        <w:snapToGrid/>
        <w:textAlignment w:val="auto"/>
        <w:outlineLvl w:val="9"/>
        <w:rPr>
          <w:rFonts w:hint="eastAsia"/>
          <w:color w:val="auto"/>
          <w:highlight w:val="none"/>
          <w:lang w:eastAsia="zh-CN"/>
        </w:rPr>
      </w:pPr>
    </w:p>
    <w:p>
      <w:pPr>
        <w:pStyle w:val="88"/>
        <w:keepNext w:val="0"/>
        <w:keepLines w:val="0"/>
        <w:pageBreakBefore w:val="0"/>
        <w:widowControl w:val="0"/>
        <w:kinsoku/>
        <w:wordWrap/>
        <w:overflowPunct/>
        <w:topLinePunct w:val="0"/>
        <w:autoSpaceDE/>
        <w:autoSpaceDN/>
        <w:bidi w:val="0"/>
        <w:adjustRightInd/>
        <w:snapToGrid/>
        <w:textAlignment w:val="auto"/>
        <w:outlineLvl w:val="9"/>
        <w:rPr>
          <w:rFonts w:hint="eastAsia"/>
          <w:color w:val="auto"/>
          <w:highlight w:val="none"/>
          <w:lang w:eastAsia="zh-CN"/>
        </w:rPr>
      </w:pPr>
    </w:p>
    <w:p>
      <w:pPr>
        <w:rPr>
          <w:rFonts w:hint="eastAsia" w:cs="Times New Roman"/>
          <w:b/>
          <w:snapToGrid w:val="0"/>
          <w:color w:val="auto"/>
          <w:kern w:val="2"/>
          <w:sz w:val="28"/>
          <w:szCs w:val="28"/>
          <w:highlight w:val="none"/>
          <w:lang w:val="en-US" w:eastAsia="zh-CN" w:bidi="ar-SA"/>
        </w:rPr>
      </w:pPr>
      <w:r>
        <w:rPr>
          <w:rFonts w:hint="eastAsia" w:cs="Times New Roman"/>
          <w:b/>
          <w:snapToGrid w:val="0"/>
          <w:color w:val="auto"/>
          <w:kern w:val="2"/>
          <w:sz w:val="28"/>
          <w:szCs w:val="28"/>
          <w:highlight w:val="none"/>
          <w:lang w:val="en-US" w:eastAsia="zh-CN" w:bidi="ar-SA"/>
        </w:rPr>
        <w:br w:type="page"/>
      </w:r>
    </w:p>
    <w:p>
      <w:pPr>
        <w:pStyle w:val="30"/>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color w:val="auto"/>
        </w:rPr>
      </w:pPr>
      <w:bookmarkStart w:id="54" w:name="_Toc15188"/>
      <w:r>
        <w:rPr>
          <w:rFonts w:hint="eastAsia" w:cs="Times New Roman"/>
          <w:b/>
          <w:snapToGrid w:val="0"/>
          <w:color w:val="auto"/>
          <w:kern w:val="2"/>
          <w:sz w:val="28"/>
          <w:szCs w:val="28"/>
          <w:highlight w:val="none"/>
          <w:lang w:val="en-US" w:eastAsia="zh-CN" w:bidi="ar-SA"/>
        </w:rPr>
        <w:t>附件</w:t>
      </w:r>
      <w:r>
        <w:rPr>
          <w:rFonts w:hint="default" w:ascii="Times New Roman" w:hAnsi="Times New Roman" w:cs="Times New Roman"/>
          <w:b/>
          <w:snapToGrid w:val="0"/>
          <w:color w:val="auto"/>
          <w:kern w:val="2"/>
          <w:sz w:val="28"/>
          <w:szCs w:val="28"/>
          <w:highlight w:val="none"/>
          <w:lang w:val="en-US" w:eastAsia="zh-CN" w:bidi="ar-SA"/>
        </w:rPr>
        <w:t>3</w:t>
      </w:r>
      <w:r>
        <w:rPr>
          <w:rFonts w:hint="eastAsia" w:cs="Times New Roman"/>
          <w:b/>
          <w:snapToGrid w:val="0"/>
          <w:color w:val="auto"/>
          <w:kern w:val="2"/>
          <w:sz w:val="28"/>
          <w:szCs w:val="28"/>
          <w:highlight w:val="none"/>
          <w:lang w:val="en-US" w:eastAsia="zh-CN" w:bidi="ar-SA"/>
        </w:rPr>
        <w:t>：监测报告</w:t>
      </w:r>
      <w:bookmarkEnd w:id="54"/>
    </w:p>
    <w:p>
      <w:pPr>
        <w:jc w:val="center"/>
        <w:rPr>
          <w:color w:val="auto"/>
          <w:sz w:val="24"/>
        </w:rPr>
      </w:pPr>
    </w:p>
    <w:p>
      <w:pPr>
        <w:rPr>
          <w:color w:val="auto"/>
        </w:rPr>
      </w:pPr>
    </w:p>
    <w:p>
      <w:pPr>
        <w:rPr>
          <w:rFonts w:hint="eastAsia" w:eastAsia="宋体"/>
          <w:color w:val="auto"/>
          <w:lang w:eastAsia="zh-CN"/>
        </w:rPr>
      </w:pPr>
      <w:bookmarkStart w:id="58" w:name="_GoBack"/>
      <w:bookmarkEnd w:id="58"/>
    </w:p>
    <w:p>
      <w:pPr>
        <w:rPr>
          <w:color w:val="auto"/>
        </w:rPr>
      </w:pPr>
    </w:p>
    <w:p>
      <w:pPr>
        <w:pStyle w:val="30"/>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ascii="Times New Roman" w:hAnsi="Times New Roman" w:eastAsia="宋体" w:cs="Times New Roman"/>
          <w:b/>
          <w:snapToGrid w:val="0"/>
          <w:color w:val="auto"/>
          <w:kern w:val="2"/>
          <w:sz w:val="28"/>
          <w:szCs w:val="28"/>
          <w:highlight w:val="none"/>
          <w:lang w:val="en-US" w:eastAsia="zh-CN" w:bidi="ar-SA"/>
        </w:rPr>
      </w:pPr>
      <w:bookmarkStart w:id="55" w:name="_Toc22518"/>
      <w:r>
        <w:rPr>
          <w:rFonts w:hint="eastAsia" w:ascii="Times New Roman" w:hAnsi="Times New Roman" w:eastAsia="宋体" w:cs="Times New Roman"/>
          <w:b/>
          <w:snapToGrid w:val="0"/>
          <w:color w:val="auto"/>
          <w:kern w:val="2"/>
          <w:sz w:val="28"/>
          <w:szCs w:val="28"/>
          <w:highlight w:val="none"/>
          <w:lang w:val="en-US" w:eastAsia="zh-CN" w:bidi="ar-SA"/>
        </w:rPr>
        <w:t>附件</w:t>
      </w:r>
      <w:r>
        <w:rPr>
          <w:rFonts w:hint="default" w:ascii="Times New Roman" w:hAnsi="Times New Roman" w:cs="Times New Roman"/>
          <w:b/>
          <w:snapToGrid w:val="0"/>
          <w:color w:val="auto"/>
          <w:kern w:val="2"/>
          <w:sz w:val="28"/>
          <w:szCs w:val="28"/>
          <w:highlight w:val="none"/>
          <w:lang w:val="en-US" w:eastAsia="zh-CN" w:bidi="ar-SA"/>
        </w:rPr>
        <w:t>4</w:t>
      </w:r>
      <w:r>
        <w:rPr>
          <w:rFonts w:hint="eastAsia" w:ascii="Times New Roman" w:hAnsi="Times New Roman" w:eastAsia="宋体" w:cs="Times New Roman"/>
          <w:b/>
          <w:snapToGrid w:val="0"/>
          <w:color w:val="auto"/>
          <w:kern w:val="2"/>
          <w:sz w:val="28"/>
          <w:szCs w:val="28"/>
          <w:highlight w:val="none"/>
          <w:lang w:val="en-US" w:eastAsia="zh-CN" w:bidi="ar-SA"/>
        </w:rPr>
        <w:t>：总量核算说明</w:t>
      </w:r>
      <w:bookmarkEnd w:id="55"/>
    </w:p>
    <w:p>
      <w:pPr>
        <w:rPr>
          <w:rFonts w:hint="default"/>
          <w:color w:val="auto"/>
          <w:highlight w:val="none"/>
          <w:lang w:val="en-US" w:eastAsia="zh-CN"/>
        </w:rPr>
      </w:pPr>
    </w:p>
    <w:p>
      <w:pPr>
        <w:pStyle w:val="164"/>
        <w:snapToGrid/>
        <w:spacing w:line="360" w:lineRule="auto"/>
        <w:ind w:left="0" w:leftChars="0" w:firstLine="480" w:firstLineChars="200"/>
        <w:rPr>
          <w:rFonts w:hint="eastAsia"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本项目产生的废气主要为原料</w:t>
      </w:r>
      <w:r>
        <w:rPr>
          <w:rFonts w:hint="eastAsia" w:ascii="Times New Roman" w:hAnsi="Times New Roman" w:eastAsia="宋体" w:cs="Times New Roman"/>
          <w:color w:val="auto"/>
          <w:kern w:val="2"/>
          <w:sz w:val="24"/>
          <w:szCs w:val="24"/>
          <w:highlight w:val="none"/>
          <w:lang w:val="en-US" w:eastAsia="zh-CN" w:bidi="ar-SA"/>
        </w:rPr>
        <w:t>堆存及</w:t>
      </w:r>
      <w:r>
        <w:rPr>
          <w:rFonts w:hint="default" w:ascii="Times New Roman" w:hAnsi="Times New Roman" w:eastAsia="宋体" w:cs="Times New Roman"/>
          <w:color w:val="auto"/>
          <w:kern w:val="2"/>
          <w:sz w:val="24"/>
          <w:szCs w:val="24"/>
          <w:highlight w:val="none"/>
          <w:lang w:val="en-US" w:eastAsia="zh-CN" w:bidi="ar-SA"/>
        </w:rPr>
        <w:t>装卸扬尘、</w:t>
      </w:r>
      <w:r>
        <w:rPr>
          <w:rFonts w:hint="default" w:ascii="Times New Roman" w:hAnsi="Times New Roman" w:eastAsia="宋体" w:cs="Times New Roman"/>
          <w:color w:val="auto"/>
          <w:lang w:val="en-US" w:eastAsia="zh-CN"/>
        </w:rPr>
        <w:t>水泥</w:t>
      </w:r>
      <w:r>
        <w:rPr>
          <w:rFonts w:hint="eastAsia" w:cs="Times New Roman"/>
          <w:color w:val="auto"/>
          <w:lang w:val="en-US" w:eastAsia="zh-CN"/>
        </w:rPr>
        <w:t>、粉煤灰</w:t>
      </w:r>
      <w:r>
        <w:rPr>
          <w:rFonts w:hint="default" w:ascii="Times New Roman" w:hAnsi="Times New Roman" w:eastAsia="宋体" w:cs="Times New Roman"/>
          <w:color w:val="auto"/>
          <w:lang w:val="en-US" w:eastAsia="zh-CN"/>
        </w:rPr>
        <w:t>筒仓粉尘</w:t>
      </w:r>
      <w:r>
        <w:rPr>
          <w:rFonts w:hint="default" w:ascii="Times New Roman" w:hAnsi="Times New Roman" w:eastAsia="宋体" w:cs="Times New Roman"/>
          <w:color w:val="auto"/>
          <w:kern w:val="2"/>
          <w:sz w:val="24"/>
          <w:szCs w:val="24"/>
          <w:highlight w:val="none"/>
          <w:lang w:val="en-US" w:eastAsia="zh-CN" w:bidi="ar-SA"/>
        </w:rPr>
        <w:t>、投料粉尘、</w:t>
      </w:r>
      <w:r>
        <w:rPr>
          <w:rFonts w:hint="eastAsia" w:cs="Times New Roman"/>
          <w:color w:val="auto"/>
          <w:kern w:val="2"/>
          <w:sz w:val="24"/>
          <w:szCs w:val="24"/>
          <w:highlight w:val="none"/>
          <w:lang w:val="en-US" w:eastAsia="zh-CN" w:bidi="ar-SA"/>
        </w:rPr>
        <w:t>搅拌粉尘及</w:t>
      </w:r>
      <w:r>
        <w:rPr>
          <w:rFonts w:hint="default" w:ascii="Times New Roman" w:hAnsi="Times New Roman" w:eastAsia="宋体" w:cs="Times New Roman"/>
          <w:color w:val="auto"/>
          <w:lang w:eastAsia="zh-CN"/>
        </w:rPr>
        <w:t>厂区内车辆运输扬尘。</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1、污染物</w:t>
      </w:r>
      <w:r>
        <w:rPr>
          <w:rFonts w:hint="eastAsia" w:cs="Times New Roman"/>
          <w:color w:val="auto"/>
          <w:sz w:val="24"/>
          <w:highlight w:val="none"/>
          <w:lang w:val="en-US" w:eastAsia="zh-CN"/>
        </w:rPr>
        <w:t>源强核算</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bidi="ar-SA"/>
        </w:rPr>
      </w:pP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1</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原料</w:t>
      </w:r>
      <w:r>
        <w:rPr>
          <w:rFonts w:hint="eastAsia" w:ascii="Times New Roman" w:hAnsi="Times New Roman" w:eastAsia="宋体" w:cs="Times New Roman"/>
          <w:color w:val="auto"/>
          <w:sz w:val="24"/>
          <w:szCs w:val="24"/>
          <w:highlight w:val="none"/>
          <w:lang w:val="en-US" w:eastAsia="zh-CN" w:bidi="ar-SA"/>
        </w:rPr>
        <w:t>堆存及装卸扬尘</w:t>
      </w:r>
    </w:p>
    <w:p>
      <w:pPr>
        <w:pStyle w:val="165"/>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80" w:firstLineChars="200"/>
        <w:textAlignment w:val="auto"/>
        <w:rPr>
          <w:rStyle w:val="167"/>
          <w:rFonts w:hint="default"/>
          <w:color w:val="auto"/>
          <w:kern w:val="0"/>
          <w:sz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原料</w:t>
      </w:r>
      <w:r>
        <w:rPr>
          <w:rFonts w:hint="eastAsia" w:ascii="Times New Roman" w:hAnsi="Times New Roman" w:eastAsia="宋体" w:cs="Times New Roman"/>
          <w:color w:val="auto"/>
          <w:kern w:val="0"/>
          <w:sz w:val="24"/>
          <w:szCs w:val="24"/>
          <w:highlight w:val="none"/>
          <w:lang w:val="en-US" w:eastAsia="zh-CN" w:bidi="ar-SA"/>
        </w:rPr>
        <w:t>堆存及装卸扬尘</w:t>
      </w:r>
      <w:r>
        <w:rPr>
          <w:rFonts w:hint="default" w:ascii="Times New Roman" w:hAnsi="Times New Roman" w:eastAsia="宋体" w:cs="Times New Roman"/>
          <w:color w:val="auto"/>
          <w:kern w:val="0"/>
          <w:sz w:val="24"/>
          <w:szCs w:val="24"/>
          <w:highlight w:val="none"/>
          <w:lang w:val="en-US" w:eastAsia="zh-CN" w:bidi="ar-SA"/>
        </w:rPr>
        <w:t>产生量参照《排放源统计调查产排污核算方法和系数手册》附表</w:t>
      </w:r>
      <w:r>
        <w:rPr>
          <w:rFonts w:hint="default" w:ascii="Times New Roman" w:hAnsi="Times New Roman" w:cs="Times New Roman"/>
          <w:color w:val="auto"/>
          <w:kern w:val="0"/>
          <w:sz w:val="24"/>
          <w:szCs w:val="24"/>
          <w:highlight w:val="none"/>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固体物料堆存颗粒物产排污核算系数手册，工业企业固体物料堆存颗粒物产生量核算公</w:t>
      </w:r>
      <w:r>
        <w:rPr>
          <w:rStyle w:val="167"/>
          <w:rFonts w:hint="default"/>
          <w:color w:val="auto"/>
          <w:kern w:val="0"/>
          <w:sz w:val="24"/>
          <w:highlight w:val="none"/>
          <w:lang w:val="en-US" w:eastAsia="zh-CN"/>
        </w:rPr>
        <w:t>式如下：</w:t>
      </w:r>
    </w:p>
    <w:p>
      <w:pPr>
        <w:keepNext w:val="0"/>
        <w:keepLines w:val="0"/>
        <w:pageBreakBefore w:val="0"/>
        <w:widowControl w:val="0"/>
        <w:kinsoku/>
        <w:wordWrap/>
        <w:overflowPunct/>
        <w:topLinePunct w:val="0"/>
        <w:bidi w:val="0"/>
        <w:snapToGrid/>
        <w:spacing w:line="360" w:lineRule="auto"/>
        <w:jc w:val="center"/>
        <w:textAlignment w:val="auto"/>
        <w:rPr>
          <w:color w:val="auto"/>
          <w:highlight w:val="none"/>
        </w:rPr>
      </w:pPr>
      <w:r>
        <w:rPr>
          <w:color w:val="auto"/>
          <w:highlight w:val="none"/>
        </w:rPr>
        <w:drawing>
          <wp:inline distT="0" distB="0" distL="114300" distR="114300">
            <wp:extent cx="5041900" cy="441960"/>
            <wp:effectExtent l="0" t="0" r="0" b="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5041900" cy="441960"/>
                    </a:xfrm>
                    <a:prstGeom prst="rect">
                      <a:avLst/>
                    </a:prstGeom>
                    <a:noFill/>
                    <a:ln>
                      <a:noFill/>
                    </a:ln>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kern w:val="0"/>
          <w:sz w:val="24"/>
          <w:szCs w:val="24"/>
          <w:highlight w:val="none"/>
          <w:lang w:eastAsia="zh-CN" w:bidi="ar"/>
        </w:rPr>
      </w:pPr>
      <w:r>
        <w:rPr>
          <w:rFonts w:hint="eastAsia" w:ascii="Times New Roman" w:hAnsi="Times New Roman" w:eastAsia="宋体" w:cs="Times New Roman"/>
          <w:color w:val="auto"/>
          <w:kern w:val="0"/>
          <w:sz w:val="24"/>
          <w:szCs w:val="24"/>
          <w:highlight w:val="none"/>
          <w:lang w:eastAsia="zh-CN" w:bidi="ar"/>
        </w:rPr>
        <w:t>式中：</w:t>
      </w:r>
      <w:r>
        <w:rPr>
          <w:rFonts w:hint="default" w:ascii="Times New Roman" w:hAnsi="Times New Roman" w:eastAsia="宋体" w:cs="Times New Roman"/>
          <w:color w:val="auto"/>
          <w:kern w:val="0"/>
          <w:sz w:val="24"/>
          <w:szCs w:val="24"/>
          <w:highlight w:val="none"/>
          <w:lang w:eastAsia="zh-CN" w:bidi="ar"/>
        </w:rPr>
        <w:t>P</w:t>
      </w:r>
      <w:r>
        <w:rPr>
          <w:rFonts w:hint="eastAsia" w:ascii="Times New Roman" w:hAnsi="Times New Roman" w:eastAsia="宋体" w:cs="Times New Roman"/>
          <w:color w:val="auto"/>
          <w:kern w:val="0"/>
          <w:sz w:val="24"/>
          <w:szCs w:val="24"/>
          <w:highlight w:val="none"/>
          <w:lang w:eastAsia="zh-CN" w:bidi="ar"/>
        </w:rPr>
        <w:t>指颗粒物产生量（单位：吨）；</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ZCy</w:t>
      </w:r>
      <w:r>
        <w:rPr>
          <w:rFonts w:hint="eastAsia" w:ascii="Times New Roman" w:hAnsi="Times New Roman" w:eastAsia="宋体" w:cs="Times New Roman"/>
          <w:color w:val="auto"/>
          <w:kern w:val="0"/>
          <w:sz w:val="24"/>
          <w:szCs w:val="24"/>
          <w:highlight w:val="none"/>
          <w:lang w:eastAsia="zh-CN" w:bidi="ar"/>
        </w:rPr>
        <w:t>指装卸扬尘产生量（单位：吨）；</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FCy</w:t>
      </w:r>
      <w:r>
        <w:rPr>
          <w:rFonts w:hint="eastAsia" w:ascii="Times New Roman" w:hAnsi="Times New Roman" w:eastAsia="宋体" w:cs="Times New Roman"/>
          <w:color w:val="auto"/>
          <w:kern w:val="0"/>
          <w:sz w:val="24"/>
          <w:szCs w:val="24"/>
          <w:highlight w:val="none"/>
          <w:lang w:eastAsia="zh-CN" w:bidi="ar"/>
        </w:rPr>
        <w:t>指风蚀扬尘产生量（单位：吨）；</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Nc</w:t>
      </w:r>
      <w:r>
        <w:rPr>
          <w:rFonts w:hint="eastAsia" w:ascii="Times New Roman" w:hAnsi="Times New Roman" w:eastAsia="宋体" w:cs="Times New Roman"/>
          <w:color w:val="auto"/>
          <w:kern w:val="0"/>
          <w:sz w:val="24"/>
          <w:szCs w:val="24"/>
          <w:highlight w:val="none"/>
          <w:lang w:eastAsia="zh-CN" w:bidi="ar"/>
        </w:rPr>
        <w:t>指年物料运载车次（单位：车），</w:t>
      </w:r>
      <w:r>
        <w:rPr>
          <w:rFonts w:hint="eastAsia" w:ascii="Times New Roman" w:hAnsi="Times New Roman" w:eastAsia="宋体" w:cs="Times New Roman"/>
          <w:color w:val="auto"/>
          <w:kern w:val="0"/>
          <w:sz w:val="24"/>
          <w:szCs w:val="24"/>
          <w:highlight w:val="none"/>
          <w:lang w:val="en-US" w:eastAsia="zh-CN" w:bidi="ar"/>
        </w:rPr>
        <w:t>砂石</w:t>
      </w:r>
      <w:r>
        <w:rPr>
          <w:rFonts w:hint="eastAsia" w:ascii="Times New Roman" w:hAnsi="Times New Roman" w:eastAsia="宋体" w:cs="Times New Roman"/>
          <w:color w:val="auto"/>
          <w:kern w:val="0"/>
          <w:sz w:val="24"/>
          <w:szCs w:val="24"/>
          <w:highlight w:val="none"/>
          <w:lang w:eastAsia="zh-CN" w:bidi="ar"/>
        </w:rPr>
        <w:t>总用量</w:t>
      </w:r>
      <w:r>
        <w:rPr>
          <w:rFonts w:hint="eastAsia" w:ascii="Times New Roman" w:hAnsi="Times New Roman" w:eastAsia="宋体" w:cs="Times New Roman"/>
          <w:color w:val="auto"/>
          <w:kern w:val="0"/>
          <w:sz w:val="24"/>
          <w:szCs w:val="24"/>
          <w:highlight w:val="none"/>
          <w:lang w:val="en-US" w:eastAsia="zh-CN" w:bidi="ar"/>
        </w:rPr>
        <w:t>27195吨，每车装载</w:t>
      </w:r>
      <w:r>
        <w:rPr>
          <w:rFonts w:hint="default" w:ascii="Times New Roman" w:hAnsi="Times New Roman" w:eastAsia="宋体" w:cs="Times New Roman"/>
          <w:color w:val="auto"/>
          <w:kern w:val="0"/>
          <w:sz w:val="24"/>
          <w:szCs w:val="24"/>
          <w:highlight w:val="none"/>
          <w:lang w:val="en-US" w:eastAsia="zh-CN" w:bidi="ar"/>
        </w:rPr>
        <w:t>25</w:t>
      </w:r>
      <w:r>
        <w:rPr>
          <w:rFonts w:hint="eastAsia" w:ascii="Times New Roman" w:hAnsi="Times New Roman" w:eastAsia="宋体" w:cs="Times New Roman"/>
          <w:color w:val="auto"/>
          <w:kern w:val="0"/>
          <w:sz w:val="24"/>
          <w:szCs w:val="24"/>
          <w:highlight w:val="none"/>
          <w:lang w:val="en-US" w:eastAsia="zh-CN" w:bidi="ar"/>
        </w:rPr>
        <w:t>吨，年运转车次</w:t>
      </w:r>
      <w:r>
        <w:rPr>
          <w:rFonts w:hint="default" w:ascii="Times New Roman" w:hAnsi="Times New Roman" w:eastAsia="宋体" w:cs="Times New Roman"/>
          <w:color w:val="auto"/>
          <w:kern w:val="0"/>
          <w:sz w:val="24"/>
          <w:szCs w:val="24"/>
          <w:highlight w:val="none"/>
          <w:lang w:val="en-US" w:eastAsia="zh-CN" w:bidi="ar"/>
        </w:rPr>
        <w:t>3245</w:t>
      </w:r>
      <w:r>
        <w:rPr>
          <w:rFonts w:hint="eastAsia" w:ascii="Times New Roman" w:hAnsi="Times New Roman" w:eastAsia="宋体" w:cs="Times New Roman"/>
          <w:color w:val="auto"/>
          <w:kern w:val="0"/>
          <w:sz w:val="24"/>
          <w:szCs w:val="24"/>
          <w:highlight w:val="none"/>
          <w:lang w:val="en-US" w:eastAsia="zh-CN" w:bidi="ar"/>
        </w:rPr>
        <w:t>次</w:t>
      </w:r>
      <w:r>
        <w:rPr>
          <w:rFonts w:hint="eastAsia" w:ascii="Times New Roman" w:hAnsi="Times New Roman" w:eastAsia="宋体" w:cs="Times New Roman"/>
          <w:color w:val="auto"/>
          <w:kern w:val="0"/>
          <w:sz w:val="24"/>
          <w:szCs w:val="24"/>
          <w:highlight w:val="none"/>
          <w:lang w:eastAsia="zh-CN" w:bidi="ar"/>
        </w:rPr>
        <w:t>；</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D</w:t>
      </w:r>
      <w:r>
        <w:rPr>
          <w:rFonts w:hint="eastAsia" w:ascii="Times New Roman" w:hAnsi="Times New Roman" w:eastAsia="宋体" w:cs="Times New Roman"/>
          <w:color w:val="auto"/>
          <w:kern w:val="0"/>
          <w:sz w:val="24"/>
          <w:szCs w:val="24"/>
          <w:highlight w:val="none"/>
          <w:lang w:eastAsia="zh-CN" w:bidi="ar"/>
        </w:rPr>
        <w:t>指单车平均运载量（单位：吨/车），</w:t>
      </w:r>
      <w:r>
        <w:rPr>
          <w:rFonts w:hint="default" w:ascii="Times New Roman" w:hAnsi="Times New Roman" w:eastAsia="宋体" w:cs="Times New Roman"/>
          <w:color w:val="auto"/>
          <w:kern w:val="0"/>
          <w:sz w:val="24"/>
          <w:szCs w:val="24"/>
          <w:highlight w:val="none"/>
          <w:lang w:val="en-US" w:eastAsia="zh-CN" w:bidi="ar"/>
        </w:rPr>
        <w:t>25</w:t>
      </w:r>
      <w:r>
        <w:rPr>
          <w:rFonts w:hint="eastAsia" w:ascii="Times New Roman" w:hAnsi="Times New Roman" w:eastAsia="宋体" w:cs="Times New Roman"/>
          <w:color w:val="auto"/>
          <w:kern w:val="0"/>
          <w:sz w:val="24"/>
          <w:szCs w:val="24"/>
          <w:highlight w:val="none"/>
          <w:lang w:val="en-US" w:eastAsia="zh-CN" w:bidi="ar"/>
        </w:rPr>
        <w:t>吨/车</w:t>
      </w:r>
      <w:r>
        <w:rPr>
          <w:rFonts w:hint="eastAsia" w:ascii="Times New Roman" w:hAnsi="Times New Roman" w:eastAsia="宋体" w:cs="Times New Roman"/>
          <w:color w:val="auto"/>
          <w:kern w:val="0"/>
          <w:sz w:val="24"/>
          <w:szCs w:val="24"/>
          <w:highlight w:val="none"/>
          <w:lang w:eastAsia="zh-CN" w:bidi="ar"/>
        </w:rPr>
        <w:t>；</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960" w:firstLineChars="400"/>
        <w:textAlignment w:val="auto"/>
        <w:rPr>
          <w:rFonts w:hint="eastAsia" w:ascii="Times New Roman" w:hAnsi="Times New Roman" w:eastAsia="宋体" w:cs="Times New Roman"/>
          <w:color w:val="auto"/>
          <w:kern w:val="0"/>
          <w:sz w:val="24"/>
          <w:szCs w:val="24"/>
          <w:highlight w:val="none"/>
          <w:lang w:eastAsia="zh-CN" w:bidi="ar"/>
        </w:rPr>
      </w:pPr>
      <w:r>
        <w:rPr>
          <w:rFonts w:hint="eastAsia"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b</w:t>
      </w:r>
      <w:r>
        <w:rPr>
          <w:rFonts w:hint="eastAsia" w:ascii="Times New Roman" w:hAnsi="Times New Roman" w:eastAsia="宋体" w:cs="Times New Roman"/>
          <w:color w:val="auto"/>
          <w:kern w:val="0"/>
          <w:sz w:val="24"/>
          <w:szCs w:val="24"/>
          <w:highlight w:val="none"/>
          <w:lang w:eastAsia="zh-CN" w:bidi="ar"/>
        </w:rPr>
        <w:t>）指装卸扬尘概化系数（单位：千克/吨），</w:t>
      </w:r>
      <w:r>
        <w:rPr>
          <w:rFonts w:hint="default" w:ascii="Times New Roman" w:hAnsi="Times New Roman" w:eastAsia="宋体" w:cs="Times New Roman"/>
          <w:color w:val="auto"/>
          <w:kern w:val="0"/>
          <w:sz w:val="24"/>
          <w:szCs w:val="24"/>
          <w:highlight w:val="none"/>
          <w:lang w:eastAsia="zh-CN" w:bidi="ar"/>
        </w:rPr>
        <w:t>a</w:t>
      </w:r>
      <w:r>
        <w:rPr>
          <w:rFonts w:hint="eastAsia" w:ascii="Times New Roman" w:hAnsi="Times New Roman" w:eastAsia="宋体" w:cs="Times New Roman"/>
          <w:color w:val="auto"/>
          <w:kern w:val="0"/>
          <w:sz w:val="24"/>
          <w:szCs w:val="24"/>
          <w:highlight w:val="none"/>
          <w:lang w:eastAsia="zh-CN" w:bidi="ar"/>
        </w:rPr>
        <w:t>指各省风速概化系数，见附录</w:t>
      </w:r>
      <w:r>
        <w:rPr>
          <w:rFonts w:hint="default" w:ascii="Times New Roman" w:hAnsi="Times New Roman" w:eastAsia="宋体" w:cs="Times New Roman"/>
          <w:color w:val="auto"/>
          <w:kern w:val="0"/>
          <w:sz w:val="24"/>
          <w:szCs w:val="24"/>
          <w:highlight w:val="none"/>
          <w:lang w:eastAsia="zh-CN" w:bidi="ar"/>
        </w:rPr>
        <w:t>1</w:t>
      </w:r>
      <w:r>
        <w:rPr>
          <w:rFonts w:hint="eastAsia" w:ascii="Times New Roman" w:hAnsi="Times New Roman" w:eastAsia="宋体" w:cs="Times New Roman"/>
          <w:color w:val="auto"/>
          <w:kern w:val="0"/>
          <w:sz w:val="24"/>
          <w:szCs w:val="24"/>
          <w:highlight w:val="none"/>
          <w:lang w:eastAsia="zh-CN" w:bidi="ar"/>
        </w:rPr>
        <w:t>，</w:t>
      </w:r>
      <w:r>
        <w:rPr>
          <w:rFonts w:hint="eastAsia" w:ascii="Times New Roman" w:hAnsi="Times New Roman" w:eastAsia="宋体" w:cs="Times New Roman"/>
          <w:color w:val="auto"/>
          <w:kern w:val="0"/>
          <w:sz w:val="24"/>
          <w:szCs w:val="24"/>
          <w:highlight w:val="none"/>
          <w:lang w:val="en-US" w:eastAsia="zh-CN" w:bidi="ar"/>
        </w:rPr>
        <w:t>本项目位于黑龙江省，则</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eastAsia="宋体" w:cs="Times New Roman"/>
          <w:color w:val="auto"/>
          <w:kern w:val="0"/>
          <w:sz w:val="24"/>
          <w:szCs w:val="24"/>
          <w:highlight w:val="none"/>
          <w:lang w:val="en-US" w:eastAsia="zh-CN" w:bidi="ar"/>
        </w:rPr>
        <w:t>取值</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0015</w:t>
      </w:r>
      <w:r>
        <w:rPr>
          <w:rFonts w:hint="eastAsia"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eastAsia="zh-CN" w:bidi="ar"/>
        </w:rPr>
        <w:t>b</w:t>
      </w:r>
      <w:r>
        <w:rPr>
          <w:rFonts w:hint="eastAsia" w:ascii="Times New Roman" w:hAnsi="Times New Roman" w:eastAsia="宋体" w:cs="Times New Roman"/>
          <w:color w:val="auto"/>
          <w:kern w:val="0"/>
          <w:sz w:val="24"/>
          <w:szCs w:val="24"/>
          <w:highlight w:val="none"/>
          <w:lang w:eastAsia="zh-CN" w:bidi="ar"/>
        </w:rPr>
        <w:t>指物料含水率概化系数，见附录</w:t>
      </w:r>
      <w:r>
        <w:rPr>
          <w:rFonts w:hint="default" w:ascii="Times New Roman" w:hAnsi="Times New Roman" w:eastAsia="宋体" w:cs="Times New Roman"/>
          <w:color w:val="auto"/>
          <w:kern w:val="0"/>
          <w:sz w:val="24"/>
          <w:szCs w:val="24"/>
          <w:highlight w:val="none"/>
          <w:lang w:eastAsia="zh-CN" w:bidi="ar"/>
        </w:rPr>
        <w:t>2</w:t>
      </w:r>
      <w:r>
        <w:rPr>
          <w:rFonts w:hint="eastAsia" w:ascii="Times New Roman" w:hAnsi="Times New Roman" w:eastAsia="宋体" w:cs="Times New Roman"/>
          <w:color w:val="auto"/>
          <w:kern w:val="0"/>
          <w:sz w:val="24"/>
          <w:szCs w:val="24"/>
          <w:highlight w:val="none"/>
          <w:lang w:eastAsia="zh-CN" w:bidi="ar"/>
        </w:rPr>
        <w:t>，项目原料</w:t>
      </w:r>
      <w:r>
        <w:rPr>
          <w:rFonts w:hint="eastAsia" w:ascii="Times New Roman" w:hAnsi="Times New Roman" w:eastAsia="宋体" w:cs="Times New Roman"/>
          <w:color w:val="auto"/>
          <w:kern w:val="0"/>
          <w:sz w:val="24"/>
          <w:szCs w:val="24"/>
          <w:highlight w:val="none"/>
          <w:lang w:val="en-US" w:eastAsia="zh-CN" w:bidi="ar"/>
        </w:rPr>
        <w:t>运输为石粉、砂子，参照混合矿石，对应</w:t>
      </w:r>
      <w:r>
        <w:rPr>
          <w:rFonts w:hint="default" w:ascii="Times New Roman" w:hAnsi="Times New Roman" w:eastAsia="宋体" w:cs="Times New Roman"/>
          <w:color w:val="auto"/>
          <w:kern w:val="0"/>
          <w:sz w:val="24"/>
          <w:szCs w:val="24"/>
          <w:highlight w:val="none"/>
          <w:lang w:val="en-US" w:eastAsia="zh-CN" w:bidi="ar"/>
        </w:rPr>
        <w:t>b</w:t>
      </w:r>
      <w:r>
        <w:rPr>
          <w:rFonts w:hint="eastAsia" w:ascii="Times New Roman" w:hAnsi="Times New Roman" w:eastAsia="宋体" w:cs="Times New Roman"/>
          <w:color w:val="auto"/>
          <w:kern w:val="0"/>
          <w:sz w:val="24"/>
          <w:szCs w:val="24"/>
          <w:highlight w:val="none"/>
          <w:lang w:eastAsia="zh-CN" w:bidi="ar"/>
        </w:rPr>
        <w:t>取值</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0084</w:t>
      </w:r>
      <w:r>
        <w:rPr>
          <w:rFonts w:hint="eastAsia" w:ascii="Times New Roman" w:hAnsi="Times New Roman" w:eastAsia="宋体" w:cs="Times New Roman"/>
          <w:color w:val="auto"/>
          <w:kern w:val="0"/>
          <w:sz w:val="24"/>
          <w:szCs w:val="24"/>
          <w:highlight w:val="none"/>
          <w:lang w:eastAsia="zh-CN" w:bidi="ar"/>
        </w:rPr>
        <w:t>；</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E</w:t>
      </w:r>
      <w:r>
        <w:rPr>
          <w:rFonts w:hint="default" w:ascii="Times New Roman" w:hAnsi="Times New Roman" w:eastAsia="宋体" w:cs="Times New Roman"/>
          <w:color w:val="auto"/>
          <w:kern w:val="0"/>
          <w:sz w:val="24"/>
          <w:szCs w:val="24"/>
          <w:highlight w:val="none"/>
          <w:vertAlign w:val="subscript"/>
          <w:lang w:eastAsia="zh-CN" w:bidi="ar"/>
        </w:rPr>
        <w:t>f</w:t>
      </w:r>
      <w:r>
        <w:rPr>
          <w:rFonts w:hint="eastAsia" w:ascii="Times New Roman" w:hAnsi="Times New Roman" w:eastAsia="宋体" w:cs="Times New Roman"/>
          <w:color w:val="auto"/>
          <w:kern w:val="0"/>
          <w:sz w:val="24"/>
          <w:szCs w:val="24"/>
          <w:highlight w:val="none"/>
          <w:lang w:eastAsia="zh-CN" w:bidi="ar"/>
        </w:rPr>
        <w:t>指堆场风蚀扬尘概化系数，</w:t>
      </w:r>
      <w:r>
        <w:rPr>
          <w:rFonts w:hint="eastAsia" w:ascii="Times New Roman" w:hAnsi="Times New Roman" w:eastAsia="宋体" w:cs="Times New Roman"/>
          <w:color w:val="auto"/>
          <w:kern w:val="0"/>
          <w:sz w:val="24"/>
          <w:szCs w:val="24"/>
          <w:highlight w:val="none"/>
          <w:lang w:val="en-US" w:eastAsia="zh-CN" w:bidi="ar"/>
        </w:rPr>
        <w:t>物料堆存类型参照混合矿石，</w:t>
      </w:r>
      <w:r>
        <w:rPr>
          <w:rFonts w:hint="default" w:ascii="Times New Roman" w:hAnsi="Times New Roman" w:eastAsia="宋体" w:cs="Times New Roman"/>
          <w:color w:val="auto"/>
          <w:kern w:val="0"/>
          <w:sz w:val="24"/>
          <w:szCs w:val="24"/>
          <w:highlight w:val="none"/>
          <w:lang w:eastAsia="zh-CN" w:bidi="ar"/>
        </w:rPr>
        <w:t>E</w:t>
      </w:r>
      <w:r>
        <w:rPr>
          <w:rFonts w:hint="default" w:ascii="Times New Roman" w:hAnsi="Times New Roman" w:eastAsia="宋体" w:cs="Times New Roman"/>
          <w:color w:val="auto"/>
          <w:kern w:val="0"/>
          <w:sz w:val="24"/>
          <w:szCs w:val="24"/>
          <w:highlight w:val="none"/>
          <w:vertAlign w:val="subscript"/>
          <w:lang w:eastAsia="zh-CN" w:bidi="ar"/>
        </w:rPr>
        <w:t>f</w:t>
      </w:r>
      <w:r>
        <w:rPr>
          <w:rFonts w:hint="eastAsia" w:ascii="Times New Roman" w:hAnsi="Times New Roman" w:eastAsia="宋体" w:cs="Times New Roman"/>
          <w:color w:val="auto"/>
          <w:kern w:val="0"/>
          <w:sz w:val="24"/>
          <w:szCs w:val="24"/>
          <w:highlight w:val="none"/>
          <w:lang w:val="en-US" w:eastAsia="zh-CN" w:bidi="ar"/>
        </w:rPr>
        <w:t>对应取值</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eastAsia="zh-CN" w:bidi="ar"/>
        </w:rPr>
        <w:t>（单位：千克/平方米）；</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Times New Roman"/>
          <w:color w:val="auto"/>
          <w:kern w:val="0"/>
          <w:sz w:val="24"/>
          <w:szCs w:val="24"/>
          <w:highlight w:val="none"/>
          <w:lang w:eastAsia="zh-CN" w:bidi="ar"/>
        </w:rPr>
      </w:pPr>
      <w:r>
        <w:rPr>
          <w:rFonts w:hint="default" w:ascii="Times New Roman" w:hAnsi="Times New Roman" w:eastAsia="宋体" w:cs="Times New Roman"/>
          <w:color w:val="auto"/>
          <w:kern w:val="0"/>
          <w:sz w:val="24"/>
          <w:szCs w:val="24"/>
          <w:highlight w:val="none"/>
          <w:lang w:eastAsia="zh-CN" w:bidi="ar"/>
        </w:rPr>
        <w:t>S</w:t>
      </w:r>
      <w:r>
        <w:rPr>
          <w:rFonts w:hint="eastAsia" w:ascii="Times New Roman" w:hAnsi="Times New Roman" w:eastAsia="宋体" w:cs="Times New Roman"/>
          <w:color w:val="auto"/>
          <w:kern w:val="0"/>
          <w:sz w:val="24"/>
          <w:szCs w:val="24"/>
          <w:highlight w:val="none"/>
          <w:lang w:eastAsia="zh-CN" w:bidi="ar"/>
        </w:rPr>
        <w:t>指堆场占地面积（单位：平方米），</w:t>
      </w:r>
      <w:r>
        <w:rPr>
          <w:rFonts w:hint="default" w:ascii="Times New Roman" w:hAnsi="Times New Roman" w:eastAsia="宋体" w:cs="Times New Roman"/>
          <w:color w:val="auto"/>
          <w:kern w:val="0"/>
          <w:sz w:val="24"/>
          <w:szCs w:val="24"/>
          <w:highlight w:val="none"/>
          <w:lang w:val="en-US" w:eastAsia="zh-CN" w:bidi="ar"/>
        </w:rPr>
        <w:t>5200m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eastAsia" w:ascii="Times New Roman" w:hAnsi="Times New Roman" w:eastAsia="宋体" w:cs="Times New Roman"/>
          <w:color w:val="auto"/>
          <w:kern w:val="0"/>
          <w:sz w:val="24"/>
          <w:szCs w:val="24"/>
          <w:highlight w:val="none"/>
          <w:lang w:eastAsia="zh-CN" w:bidi="ar"/>
        </w:rPr>
        <w:t>。</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smallCaps w:val="0"/>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颗粒物产生量={</w:t>
      </w:r>
      <w:r>
        <w:rPr>
          <w:rFonts w:hint="default" w:ascii="Times New Roman" w:hAnsi="Times New Roman" w:eastAsia="宋体" w:cs="Times New Roman"/>
          <w:color w:val="auto"/>
          <w:kern w:val="0"/>
          <w:sz w:val="24"/>
          <w:szCs w:val="24"/>
          <w:highlight w:val="none"/>
          <w:lang w:val="en-US" w:eastAsia="zh-CN" w:bidi="ar"/>
        </w:rPr>
        <w:t>3245</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25</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0015</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0084</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5200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10</w:t>
      </w:r>
      <w:r>
        <w:rPr>
          <w:rFonts w:hint="eastAsia" w:ascii="Times New Roman" w:hAnsi="Times New Roman" w:eastAsia="宋体" w:cs="Times New Roman"/>
          <w:color w:val="auto"/>
          <w:kern w:val="0"/>
          <w:sz w:val="24"/>
          <w:szCs w:val="24"/>
          <w:highlight w:val="none"/>
          <w:vertAlign w:val="superscript"/>
          <w:lang w:val="en-US" w:eastAsia="zh-CN" w:bidi="ar"/>
        </w:rPr>
        <w:t>-</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14</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49t</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根据《排放源统计调查产排污核算方法和系数手册》中的《工业源固体物料堆场颗粒物核算系数手册》，本项目砂石料储存的颗粒物排放量核算公式如下：</w:t>
      </w:r>
    </w:p>
    <w:p>
      <w:pPr>
        <w:keepNext w:val="0"/>
        <w:keepLines w:val="0"/>
        <w:pageBreakBefore w:val="0"/>
        <w:kinsoku/>
        <w:wordWrap/>
        <w:overflowPunct/>
        <w:topLinePunct w:val="0"/>
        <w:bidi w:val="0"/>
        <w:adjustRightInd w:val="0"/>
        <w:snapToGrid w:val="0"/>
        <w:spacing w:line="360" w:lineRule="auto"/>
        <w:ind w:left="0" w:leftChars="0" w:right="0" w:rightChars="0" w:firstLine="420" w:firstLineChars="200"/>
        <w:jc w:val="center"/>
        <w:rPr>
          <w:rFonts w:hint="default" w:ascii="Times New Roman" w:hAnsi="Times New Roman" w:eastAsia="宋体" w:cs="Times New Roman"/>
          <w:bCs/>
          <w:color w:val="auto"/>
          <w:kern w:val="2"/>
          <w:sz w:val="21"/>
          <w:szCs w:val="21"/>
          <w:highlight w:val="yellow"/>
          <w:lang w:val="en-US" w:eastAsia="zh-CN" w:bidi="ar-SA"/>
        </w:rPr>
      </w:pPr>
      <w:r>
        <w:rPr>
          <w:color w:val="auto"/>
        </w:rPr>
        <w:drawing>
          <wp:inline distT="0" distB="0" distL="114300" distR="114300">
            <wp:extent cx="3838575" cy="552450"/>
            <wp:effectExtent l="0" t="0" r="9525" b="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20"/>
                    <a:stretch>
                      <a:fillRect/>
                    </a:stretch>
                  </pic:blipFill>
                  <pic:spPr>
                    <a:xfrm>
                      <a:off x="0" y="0"/>
                      <a:ext cx="3838575" cy="552450"/>
                    </a:xfrm>
                    <a:prstGeom prst="rect">
                      <a:avLst/>
                    </a:prstGeom>
                    <a:noFill/>
                    <a:ln>
                      <a:noFill/>
                    </a:ln>
                  </pic:spPr>
                </pic:pic>
              </a:graphicData>
            </a:graphic>
          </wp:inline>
        </w:drawing>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式中：P 指颗粒物产生量（单位：吨）；</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Uc指颗粒物排放量（单位：吨）； </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C</w:t>
      </w:r>
      <w:r>
        <w:rPr>
          <w:rFonts w:hint="default" w:ascii="Times New Roman" w:hAnsi="Times New Roman" w:eastAsia="宋体" w:cs="Times New Roman"/>
          <w:color w:val="auto"/>
          <w:kern w:val="0"/>
          <w:sz w:val="24"/>
          <w:szCs w:val="24"/>
          <w:highlight w:val="none"/>
          <w:vertAlign w:val="subscript"/>
          <w:lang w:val="en-US" w:eastAsia="zh-CN" w:bidi="ar"/>
        </w:rPr>
        <w:t>m</w:t>
      </w:r>
      <w:r>
        <w:rPr>
          <w:rFonts w:hint="default" w:ascii="Times New Roman" w:hAnsi="Times New Roman" w:eastAsia="宋体" w:cs="Times New Roman"/>
          <w:color w:val="auto"/>
          <w:kern w:val="0"/>
          <w:sz w:val="24"/>
          <w:szCs w:val="24"/>
          <w:highlight w:val="none"/>
          <w:lang w:val="en-US" w:eastAsia="zh-CN" w:bidi="ar"/>
        </w:rPr>
        <w:t xml:space="preserve">指颗粒物控制措施控制效率（单位：%）； </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T</w:t>
      </w:r>
      <w:r>
        <w:rPr>
          <w:rFonts w:hint="default" w:ascii="Times New Roman" w:hAnsi="Times New Roman" w:eastAsia="宋体" w:cs="Times New Roman"/>
          <w:color w:val="auto"/>
          <w:kern w:val="0"/>
          <w:sz w:val="24"/>
          <w:szCs w:val="24"/>
          <w:highlight w:val="none"/>
          <w:vertAlign w:val="subscript"/>
          <w:lang w:val="en-US" w:eastAsia="zh-CN" w:bidi="ar"/>
        </w:rPr>
        <w:t>m</w:t>
      </w:r>
      <w:r>
        <w:rPr>
          <w:rFonts w:hint="default" w:ascii="Times New Roman" w:hAnsi="Times New Roman" w:eastAsia="宋体" w:cs="Times New Roman"/>
          <w:color w:val="auto"/>
          <w:kern w:val="0"/>
          <w:sz w:val="24"/>
          <w:szCs w:val="24"/>
          <w:highlight w:val="none"/>
          <w:lang w:val="en-US" w:eastAsia="zh-CN" w:bidi="ar"/>
        </w:rPr>
        <w:t>指堆场类型控制措施控制效率（单位：%）。</w:t>
      </w:r>
    </w:p>
    <w:p>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w:t>
      </w:r>
      <w:r>
        <w:rPr>
          <w:rFonts w:hint="eastAsia" w:ascii="Times New Roman" w:hAnsi="Times New Roman" w:eastAsia="宋体" w:cs="Times New Roman"/>
          <w:color w:val="auto"/>
          <w:kern w:val="0"/>
          <w:sz w:val="24"/>
          <w:szCs w:val="24"/>
          <w:highlight w:val="none"/>
          <w:lang w:val="en-US" w:eastAsia="zh-CN" w:bidi="ar"/>
        </w:rPr>
        <w:t>项目原料</w:t>
      </w:r>
      <w:r>
        <w:rPr>
          <w:rFonts w:hint="default" w:ascii="Times New Roman" w:hAnsi="Times New Roman" w:eastAsia="宋体" w:cs="Times New Roman"/>
          <w:color w:val="auto"/>
          <w:kern w:val="0"/>
          <w:sz w:val="24"/>
          <w:szCs w:val="24"/>
          <w:highlight w:val="none"/>
          <w:lang w:val="en-US" w:eastAsia="zh-CN" w:bidi="ar"/>
        </w:rPr>
        <w:t>堆场</w:t>
      </w:r>
      <w:r>
        <w:rPr>
          <w:rFonts w:hint="eastAsia" w:ascii="Times New Roman" w:hAnsi="Times New Roman" w:eastAsia="宋体" w:cs="Times New Roman"/>
          <w:color w:val="auto"/>
          <w:kern w:val="0"/>
          <w:sz w:val="24"/>
          <w:szCs w:val="24"/>
          <w:highlight w:val="none"/>
          <w:lang w:val="en-US" w:eastAsia="zh-CN" w:bidi="ar"/>
        </w:rPr>
        <w:t>四周设置</w:t>
      </w:r>
      <w:r>
        <w:rPr>
          <w:rFonts w:hint="default" w:ascii="Times New Roman" w:hAnsi="Times New Roman" w:eastAsia="宋体" w:cs="Times New Roman"/>
          <w:color w:val="auto"/>
          <w:kern w:val="0"/>
          <w:sz w:val="24"/>
          <w:szCs w:val="24"/>
          <w:highlight w:val="none"/>
          <w:lang w:val="en-US" w:eastAsia="zh-CN" w:bidi="ar"/>
        </w:rPr>
        <w:t>防风抑尘网，并洒水抑尘扬尘</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依据《工业源固体物料堆场颗粒物核算系数手册》附录5</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本项目堆场类型属于半敞开式</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因此T</w:t>
      </w:r>
      <w:r>
        <w:rPr>
          <w:rFonts w:hint="default" w:ascii="Times New Roman" w:hAnsi="Times New Roman" w:eastAsia="宋体" w:cs="Times New Roman"/>
          <w:color w:val="auto"/>
          <w:kern w:val="0"/>
          <w:sz w:val="24"/>
          <w:szCs w:val="24"/>
          <w:highlight w:val="none"/>
          <w:vertAlign w:val="subscript"/>
          <w:lang w:val="en-US" w:eastAsia="zh-CN" w:bidi="ar"/>
        </w:rPr>
        <w:t>m</w:t>
      </w:r>
      <w:r>
        <w:rPr>
          <w:rFonts w:hint="default" w:ascii="Times New Roman" w:hAnsi="Times New Roman" w:eastAsia="宋体" w:cs="Times New Roman"/>
          <w:color w:val="auto"/>
          <w:kern w:val="0"/>
          <w:sz w:val="24"/>
          <w:szCs w:val="24"/>
          <w:highlight w:val="none"/>
          <w:lang w:val="en-US" w:eastAsia="zh-CN" w:bidi="ar"/>
        </w:rPr>
        <w:t>取值为60%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C</w:t>
      </w:r>
      <w:r>
        <w:rPr>
          <w:rFonts w:hint="default" w:ascii="Times New Roman" w:hAnsi="Times New Roman" w:eastAsia="宋体" w:cs="Times New Roman"/>
          <w:color w:val="auto"/>
          <w:kern w:val="0"/>
          <w:sz w:val="24"/>
          <w:szCs w:val="24"/>
          <w:highlight w:val="none"/>
          <w:vertAlign w:val="subscript"/>
          <w:lang w:val="en-US" w:eastAsia="zh-CN" w:bidi="ar"/>
        </w:rPr>
        <w:t>m</w:t>
      </w:r>
      <w:r>
        <w:rPr>
          <w:rFonts w:hint="default" w:ascii="Times New Roman" w:hAnsi="Times New Roman" w:eastAsia="宋体" w:cs="Times New Roman"/>
          <w:color w:val="auto"/>
          <w:kern w:val="0"/>
          <w:sz w:val="24"/>
          <w:szCs w:val="24"/>
          <w:highlight w:val="none"/>
          <w:lang w:val="en-US" w:eastAsia="zh-CN" w:bidi="ar"/>
        </w:rPr>
        <w:t>取值为74%。经计算，本项目砂堆场仓储废气颗粒物（包括卸料扬尘和风蚀扬尘）排放总量为</w:t>
      </w:r>
      <w:r>
        <w:rPr>
          <w:rFonts w:hint="default" w:ascii="Times New Roman" w:hAnsi="Times New Roman" w:cs="Times New Roman"/>
          <w:color w:val="auto"/>
          <w:kern w:val="0"/>
          <w:sz w:val="24"/>
          <w:szCs w:val="24"/>
          <w:highlight w:val="none"/>
          <w:lang w:val="en-US" w:eastAsia="zh-CN" w:bidi="ar"/>
        </w:rPr>
        <w:t>1</w:t>
      </w:r>
      <w:r>
        <w:rPr>
          <w:rFonts w:hint="eastAsia"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51</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（堆存时间</w:t>
      </w:r>
      <w:r>
        <w:rPr>
          <w:rFonts w:hint="default" w:ascii="Times New Roman" w:hAnsi="Times New Roman" w:eastAsia="宋体" w:cs="Times New Roman"/>
          <w:color w:val="auto"/>
          <w:kern w:val="0"/>
          <w:sz w:val="24"/>
          <w:szCs w:val="24"/>
          <w:highlight w:val="none"/>
          <w:lang w:val="en-US" w:eastAsia="zh-CN" w:bidi="ar"/>
        </w:rPr>
        <w:t>2</w:t>
      </w:r>
      <w:r>
        <w:rPr>
          <w:rFonts w:hint="default" w:ascii="Times New Roman" w:hAnsi="Times New Roman"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0天，每天24h</w:t>
      </w:r>
      <w:r>
        <w:rPr>
          <w:rFonts w:hint="eastAsia" w:ascii="Times New Roman" w:hAnsi="Times New Roman" w:eastAsia="宋体" w:cs="Times New Roman"/>
          <w:color w:val="auto"/>
          <w:kern w:val="0"/>
          <w:sz w:val="24"/>
          <w:szCs w:val="24"/>
          <w:highlight w:val="none"/>
          <w:lang w:val="en-US" w:eastAsia="zh-CN" w:bidi="ar"/>
        </w:rPr>
        <w:t>）则本项目砂石存储</w:t>
      </w:r>
      <w:r>
        <w:rPr>
          <w:rFonts w:hint="default" w:ascii="Times New Roman" w:hAnsi="Times New Roman" w:eastAsia="宋体" w:cs="Times New Roman"/>
          <w:color w:val="auto"/>
          <w:kern w:val="0"/>
          <w:sz w:val="24"/>
          <w:szCs w:val="24"/>
          <w:highlight w:val="none"/>
          <w:lang w:val="en-US" w:eastAsia="zh-CN" w:bidi="ar"/>
        </w:rPr>
        <w:t>废气颗粒物（包括卸料扬尘和风蚀扬尘）排放速率为0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262</w:t>
      </w:r>
      <w:r>
        <w:rPr>
          <w:rFonts w:hint="default" w:ascii="Times New Roman" w:hAnsi="Times New Roman" w:eastAsia="宋体" w:cs="Times New Roman"/>
          <w:color w:val="auto"/>
          <w:kern w:val="0"/>
          <w:sz w:val="24"/>
          <w:szCs w:val="24"/>
          <w:highlight w:val="none"/>
          <w:lang w:val="en-US" w:eastAsia="zh-CN" w:bidi="ar"/>
        </w:rPr>
        <w:t>kg/h。</w:t>
      </w:r>
    </w:p>
    <w:p>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水泥</w:t>
      </w:r>
      <w:r>
        <w:rPr>
          <w:rFonts w:hint="eastAsia" w:ascii="Times New Roman" w:hAnsi="Times New Roman" w:eastAsia="宋体" w:cs="Times New Roman"/>
          <w:color w:val="auto"/>
          <w:kern w:val="0"/>
          <w:sz w:val="24"/>
          <w:szCs w:val="24"/>
          <w:highlight w:val="none"/>
          <w:lang w:val="en-US" w:eastAsia="zh-CN" w:bidi="ar"/>
        </w:rPr>
        <w:t>筒仓粉尘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本项目原料水泥用专用运输车运至厂内，本项目设置3个300t的水泥筒仓</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通过气泵将水泥沿管道输送到筒仓内，为气力运输，筒仓顶部排气孔将产生颗粒物。</w:t>
      </w:r>
      <w:r>
        <w:rPr>
          <w:rFonts w:hint="eastAsia" w:ascii="Times New Roman" w:hAnsi="Times New Roman" w:eastAsia="宋体" w:cs="Times New Roman"/>
          <w:color w:val="auto"/>
          <w:kern w:val="0"/>
          <w:sz w:val="24"/>
          <w:szCs w:val="24"/>
          <w:highlight w:val="none"/>
          <w:lang w:val="en-US" w:eastAsia="zh-CN" w:bidi="ar"/>
        </w:rPr>
        <w:t>颗粒物产生量</w:t>
      </w:r>
      <w:r>
        <w:rPr>
          <w:rFonts w:hint="default" w:ascii="Times New Roman" w:hAnsi="Times New Roman" w:eastAsia="宋体" w:cs="Times New Roman"/>
          <w:color w:val="auto"/>
          <w:kern w:val="0"/>
          <w:sz w:val="24"/>
          <w:szCs w:val="24"/>
          <w:highlight w:val="none"/>
          <w:lang w:val="en-US" w:eastAsia="zh-CN" w:bidi="ar"/>
        </w:rPr>
        <w:t>参</w:t>
      </w:r>
      <w:r>
        <w:rPr>
          <w:rFonts w:hint="eastAsia" w:ascii="Times New Roman" w:hAnsi="Times New Roman" w:eastAsia="宋体" w:cs="Times New Roman"/>
          <w:color w:val="auto"/>
          <w:kern w:val="0"/>
          <w:sz w:val="24"/>
          <w:szCs w:val="24"/>
          <w:highlight w:val="none"/>
          <w:lang w:val="en-US" w:eastAsia="zh-CN" w:bidi="ar"/>
        </w:rPr>
        <w:t>照</w:t>
      </w:r>
      <w:r>
        <w:rPr>
          <w:rFonts w:hint="default" w:ascii="Times New Roman" w:hAnsi="Times New Roman" w:eastAsia="宋体" w:cs="Times New Roman"/>
          <w:color w:val="auto"/>
          <w:kern w:val="0"/>
          <w:sz w:val="24"/>
          <w:szCs w:val="24"/>
          <w:highlight w:val="none"/>
          <w:lang w:val="en-US" w:eastAsia="zh-CN" w:bidi="ar"/>
        </w:rPr>
        <w:t>《排放源统计调查产排污核算方法和系数手册》(生态环境部公告2021年第24号)中3021水泥制品制造(含3022砼结构构件、3029其他水泥类似制品制造)行业</w:t>
      </w:r>
      <w:r>
        <w:rPr>
          <w:rFonts w:hint="eastAsia" w:ascii="Times New Roman" w:hAnsi="Times New Roman" w:eastAsia="宋体" w:cs="Times New Roman"/>
          <w:color w:val="auto"/>
          <w:kern w:val="0"/>
          <w:sz w:val="24"/>
          <w:szCs w:val="24"/>
          <w:highlight w:val="none"/>
          <w:lang w:val="en-US" w:eastAsia="zh-CN" w:bidi="ar"/>
        </w:rPr>
        <w:t>混凝土</w:t>
      </w:r>
      <w:r>
        <w:rPr>
          <w:rFonts w:hint="default" w:ascii="Times New Roman" w:hAnsi="Times New Roman" w:eastAsia="宋体" w:cs="Times New Roman"/>
          <w:color w:val="auto"/>
          <w:kern w:val="0"/>
          <w:sz w:val="24"/>
          <w:szCs w:val="24"/>
          <w:highlight w:val="none"/>
          <w:lang w:val="en-US" w:eastAsia="zh-CN" w:bidi="ar"/>
        </w:rPr>
        <w:t>制品物料输送储存产污系数为0.12kg/t-产品</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本项目每个筒仓顶布设置1套脉冲式袋式除尘器，除尘效率为99</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水泥筒仓加料时加料车会产生负压，单车最大运输量按</w:t>
      </w:r>
      <w:r>
        <w:rPr>
          <w:rFonts w:hint="default" w:ascii="Times New Roman" w:hAnsi="Times New Roman" w:eastAsia="宋体" w:cs="Times New Roman"/>
          <w:color w:val="auto"/>
          <w:kern w:val="0"/>
          <w:sz w:val="24"/>
          <w:szCs w:val="24"/>
          <w:highlight w:val="none"/>
          <w:lang w:val="en-US" w:eastAsia="zh-CN" w:bidi="ar"/>
        </w:rPr>
        <w:t>30t/</w:t>
      </w:r>
      <w:r>
        <w:rPr>
          <w:rFonts w:hint="eastAsia" w:ascii="Times New Roman" w:hAnsi="Times New Roman" w:eastAsia="宋体" w:cs="Times New Roman"/>
          <w:color w:val="auto"/>
          <w:kern w:val="0"/>
          <w:sz w:val="24"/>
          <w:szCs w:val="24"/>
          <w:highlight w:val="none"/>
          <w:lang w:val="en-US" w:eastAsia="zh-CN" w:bidi="ar"/>
        </w:rPr>
        <w:t>车，每车充装时间为</w:t>
      </w:r>
      <w:r>
        <w:rPr>
          <w:rFonts w:hint="default" w:ascii="Times New Roman" w:hAnsi="Times New Roman" w:eastAsia="宋体" w:cs="Times New Roman"/>
          <w:color w:val="auto"/>
          <w:kern w:val="0"/>
          <w:sz w:val="24"/>
          <w:szCs w:val="24"/>
          <w:highlight w:val="none"/>
          <w:lang w:val="en-US" w:eastAsia="zh-CN" w:bidi="ar"/>
        </w:rPr>
        <w:t>45min</w:t>
      </w:r>
      <w:r>
        <w:rPr>
          <w:rFonts w:hint="eastAsia" w:ascii="Times New Roman" w:hAnsi="Times New Roman" w:eastAsia="宋体" w:cs="Times New Roman"/>
          <w:color w:val="auto"/>
          <w:kern w:val="0"/>
          <w:sz w:val="24"/>
          <w:szCs w:val="24"/>
          <w:highlight w:val="none"/>
          <w:lang w:val="en-US" w:eastAsia="zh-CN" w:bidi="ar"/>
        </w:rPr>
        <w:t>。本项目水泥的年用量为</w:t>
      </w:r>
      <w:r>
        <w:rPr>
          <w:rFonts w:hint="eastAsia" w:cs="Times New Roman"/>
          <w:color w:val="auto"/>
          <w:kern w:val="0"/>
          <w:sz w:val="24"/>
          <w:szCs w:val="24"/>
          <w:highlight w:val="none"/>
          <w:lang w:val="en-US" w:eastAsia="zh-CN" w:bidi="ar"/>
        </w:rPr>
        <w:t>7700</w:t>
      </w:r>
      <w:r>
        <w:rPr>
          <w:rFonts w:hint="default" w:ascii="Times New Roman" w:hAnsi="Times New Roman" w:eastAsia="宋体" w:cs="Times New Roman"/>
          <w:color w:val="auto"/>
          <w:kern w:val="0"/>
          <w:sz w:val="24"/>
          <w:szCs w:val="24"/>
          <w:highlight w:val="none"/>
          <w:lang w:val="en-US" w:eastAsia="zh-CN" w:bidi="ar"/>
        </w:rPr>
        <w:t>t</w:t>
      </w:r>
      <w:r>
        <w:rPr>
          <w:rFonts w:hint="eastAsia" w:ascii="Times New Roman" w:hAnsi="Times New Roman" w:eastAsia="宋体" w:cs="Times New Roman"/>
          <w:color w:val="auto"/>
          <w:kern w:val="0"/>
          <w:sz w:val="24"/>
          <w:szCs w:val="24"/>
          <w:highlight w:val="none"/>
          <w:lang w:val="en-US" w:eastAsia="zh-CN" w:bidi="ar"/>
        </w:rPr>
        <w:t>，共建设</w:t>
      </w:r>
      <w:r>
        <w:rPr>
          <w:rFonts w:hint="default" w:ascii="Times New Roman" w:hAnsi="Times New Roman" w:eastAsia="宋体"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座水泥筒仓，则每座筒仓的年充装时间为</w:t>
      </w:r>
      <w:r>
        <w:rPr>
          <w:rFonts w:hint="default" w:ascii="Times New Roman" w:hAnsi="Times New Roman" w:cs="Times New Roman"/>
          <w:color w:val="auto"/>
          <w:kern w:val="0"/>
          <w:sz w:val="24"/>
          <w:szCs w:val="24"/>
          <w:highlight w:val="none"/>
          <w:lang w:val="en-US" w:eastAsia="zh-CN" w:bidi="ar"/>
        </w:rPr>
        <w:t>92</w:t>
      </w:r>
      <w:r>
        <w:rPr>
          <w:rFonts w:hint="default" w:ascii="Times New Roman" w:hAnsi="Times New Roman" w:eastAsia="宋体" w:cs="Times New Roman"/>
          <w:color w:val="auto"/>
          <w:kern w:val="0"/>
          <w:sz w:val="24"/>
          <w:szCs w:val="24"/>
          <w:highlight w:val="none"/>
          <w:lang w:val="en-US" w:eastAsia="zh-CN" w:bidi="ar"/>
        </w:rPr>
        <w:t>h</w:t>
      </w:r>
      <w:r>
        <w:rPr>
          <w:rFonts w:hint="eastAsia" w:ascii="Times New Roman" w:hAnsi="Times New Roman" w:eastAsia="宋体" w:cs="Times New Roman"/>
          <w:color w:val="auto"/>
          <w:kern w:val="0"/>
          <w:sz w:val="24"/>
          <w:szCs w:val="24"/>
          <w:highlight w:val="none"/>
          <w:lang w:val="en-US" w:eastAsia="zh-CN" w:bidi="ar"/>
        </w:rPr>
        <w:t xml:space="preserve">。水泥筒仓排放颗粒物仅在水泥筒仓进料呼吸时进行排放，水泥筒仓的粉尘产生量为 </w:t>
      </w:r>
      <w:r>
        <w:rPr>
          <w:rFonts w:hint="default" w:ascii="Times New Roman" w:hAnsi="Times New Roman" w:cs="Times New Roman"/>
          <w:color w:val="auto"/>
          <w:kern w:val="0"/>
          <w:sz w:val="24"/>
          <w:szCs w:val="24"/>
          <w:highlight w:val="none"/>
          <w:lang w:val="en-US" w:eastAsia="zh-CN" w:bidi="ar"/>
        </w:rPr>
        <w:t>1</w:t>
      </w:r>
      <w:r>
        <w:rPr>
          <w:rFonts w:hint="eastAsia"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32</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14</w:t>
      </w:r>
      <w:r>
        <w:rPr>
          <w:rFonts w:hint="eastAsia"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kg/h</w:t>
      </w:r>
      <w:r>
        <w:rPr>
          <w:rFonts w:hint="eastAsia" w:ascii="Times New Roman" w:hAnsi="Times New Roman" w:eastAsia="宋体" w:cs="Times New Roman"/>
          <w:color w:val="auto"/>
          <w:kern w:val="0"/>
          <w:sz w:val="24"/>
          <w:szCs w:val="24"/>
          <w:highlight w:val="none"/>
          <w:lang w:val="en-US" w:eastAsia="zh-CN" w:bidi="ar"/>
        </w:rPr>
        <w:t>），经筒仓自带的布袋除尘器</w:t>
      </w:r>
      <w:r>
        <w:rPr>
          <w:rFonts w:hint="eastAsia" w:cs="Times New Roman"/>
          <w:b w:val="0"/>
          <w:bCs/>
          <w:color w:val="auto"/>
          <w:kern w:val="2"/>
          <w:sz w:val="24"/>
          <w:szCs w:val="24"/>
          <w:highlight w:val="none"/>
          <w:lang w:val="en-US" w:eastAsia="zh-CN" w:bidi="ar-SA"/>
        </w:rPr>
        <w:t>（无动力除尘）</w:t>
      </w:r>
      <w:r>
        <w:rPr>
          <w:rFonts w:hint="eastAsia" w:ascii="Times New Roman" w:hAnsi="Times New Roman" w:eastAsia="宋体" w:cs="Times New Roman"/>
          <w:color w:val="auto"/>
          <w:kern w:val="0"/>
          <w:sz w:val="24"/>
          <w:szCs w:val="24"/>
          <w:highlight w:val="none"/>
          <w:lang w:val="en-US" w:eastAsia="zh-CN" w:bidi="ar"/>
        </w:rPr>
        <w:t>处理后通过罐顶无组织排放，处理效率</w:t>
      </w:r>
      <w:r>
        <w:rPr>
          <w:rFonts w:hint="default" w:ascii="Times New Roman" w:hAnsi="Times New Roman" w:eastAsia="宋体" w:cs="Times New Roman"/>
          <w:color w:val="auto"/>
          <w:kern w:val="0"/>
          <w:sz w:val="24"/>
          <w:szCs w:val="24"/>
          <w:highlight w:val="none"/>
          <w:lang w:val="en-US" w:eastAsia="zh-CN" w:bidi="ar"/>
        </w:rPr>
        <w:t>99</w:t>
      </w:r>
      <w:r>
        <w:rPr>
          <w:rFonts w:hint="eastAsia"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，则水泥筒仓粉尘排放量为</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default" w:ascii="Times New Roman" w:hAnsi="Times New Roman" w:cs="Times New Roman"/>
          <w:color w:val="auto"/>
          <w:kern w:val="0"/>
          <w:sz w:val="24"/>
          <w:szCs w:val="24"/>
          <w:highlight w:val="none"/>
          <w:lang w:val="en-US" w:eastAsia="zh-CN" w:bidi="ar"/>
        </w:rPr>
        <w:t>07</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w:t>
      </w:r>
      <w:r>
        <w:rPr>
          <w:rFonts w:hint="default" w:ascii="Times New Roman" w:hAnsi="Times New Roman" w:cs="Times New Roman"/>
          <w:color w:val="auto"/>
          <w:kern w:val="0"/>
          <w:sz w:val="24"/>
          <w:szCs w:val="24"/>
          <w:highlight w:val="none"/>
          <w:lang w:val="en-US" w:eastAsia="zh-CN" w:bidi="ar"/>
        </w:rPr>
        <w:t>72</w:t>
      </w:r>
      <w:r>
        <w:rPr>
          <w:rFonts w:hint="default" w:ascii="Times New Roman" w:hAnsi="Times New Roman" w:eastAsia="宋体" w:cs="Times New Roman"/>
          <w:color w:val="auto"/>
          <w:kern w:val="0"/>
          <w:sz w:val="24"/>
          <w:szCs w:val="24"/>
          <w:highlight w:val="none"/>
          <w:lang w:val="en-US" w:eastAsia="zh-CN" w:bidi="ar"/>
        </w:rPr>
        <w:t>kg/h</w:t>
      </w:r>
      <w:r>
        <w:rPr>
          <w:rFonts w:hint="eastAsia" w:ascii="Times New Roman" w:hAnsi="Times New Roman" w:eastAsia="宋体" w:cs="Times New Roman"/>
          <w:color w:val="auto"/>
          <w:kern w:val="0"/>
          <w:sz w:val="24"/>
          <w:szCs w:val="24"/>
          <w:highlight w:val="none"/>
          <w:lang w:val="en-US" w:eastAsia="zh-CN" w:bidi="ar"/>
        </w:rPr>
        <w:t>）。</w:t>
      </w:r>
    </w:p>
    <w:p>
      <w:pPr>
        <w:pStyle w:val="4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3</w:t>
      </w:r>
      <w:r>
        <w:rPr>
          <w:rFonts w:hint="eastAsia" w:ascii="Times New Roman" w:hAnsi="Times New Roman" w:eastAsia="宋体" w:cs="Times New Roman"/>
          <w:b w:val="0"/>
          <w:bCs/>
          <w:color w:val="auto"/>
          <w:kern w:val="2"/>
          <w:sz w:val="24"/>
          <w:szCs w:val="24"/>
          <w:highlight w:val="none"/>
          <w:lang w:val="en-US" w:eastAsia="zh-CN" w:bidi="ar-SA"/>
        </w:rPr>
        <w:t>）粉煤灰筒仓粉尘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本项目原料</w:t>
      </w:r>
      <w:r>
        <w:rPr>
          <w:rFonts w:hint="eastAsia" w:ascii="Times New Roman" w:hAnsi="Times New Roman" w:eastAsia="宋体" w:cs="Times New Roman"/>
          <w:b w:val="0"/>
          <w:bCs/>
          <w:color w:val="auto"/>
          <w:kern w:val="2"/>
          <w:sz w:val="24"/>
          <w:szCs w:val="24"/>
          <w:highlight w:val="none"/>
          <w:lang w:val="en-US" w:eastAsia="zh-CN" w:bidi="ar-SA"/>
        </w:rPr>
        <w:t>粉煤灰</w:t>
      </w:r>
      <w:r>
        <w:rPr>
          <w:rFonts w:hint="default" w:ascii="Times New Roman" w:hAnsi="Times New Roman" w:eastAsia="宋体" w:cs="Times New Roman"/>
          <w:b w:val="0"/>
          <w:bCs/>
          <w:color w:val="auto"/>
          <w:kern w:val="2"/>
          <w:sz w:val="24"/>
          <w:szCs w:val="24"/>
          <w:highlight w:val="none"/>
          <w:lang w:val="en-US" w:eastAsia="zh-CN" w:bidi="ar-SA"/>
        </w:rPr>
        <w:t>用密封的专用运输车运至厂内，本项目设置1个200t的</w:t>
      </w:r>
      <w:r>
        <w:rPr>
          <w:rFonts w:hint="eastAsia" w:ascii="Times New Roman" w:hAnsi="Times New Roman" w:eastAsia="宋体" w:cs="Times New Roman"/>
          <w:b w:val="0"/>
          <w:bCs/>
          <w:color w:val="auto"/>
          <w:kern w:val="2"/>
          <w:sz w:val="24"/>
          <w:szCs w:val="24"/>
          <w:highlight w:val="none"/>
          <w:lang w:val="en-US" w:eastAsia="zh-CN" w:bidi="ar-SA"/>
        </w:rPr>
        <w:t>粉煤灰</w:t>
      </w:r>
      <w:r>
        <w:rPr>
          <w:rFonts w:hint="default" w:ascii="Times New Roman" w:hAnsi="Times New Roman" w:eastAsia="宋体" w:cs="Times New Roman"/>
          <w:b w:val="0"/>
          <w:bCs/>
          <w:color w:val="auto"/>
          <w:kern w:val="2"/>
          <w:sz w:val="24"/>
          <w:szCs w:val="24"/>
          <w:highlight w:val="none"/>
          <w:lang w:val="en-US" w:eastAsia="zh-CN" w:bidi="ar-SA"/>
        </w:rPr>
        <w:t>筒仓</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通过气泵将</w:t>
      </w:r>
      <w:r>
        <w:rPr>
          <w:rFonts w:hint="eastAsia" w:ascii="Times New Roman" w:hAnsi="Times New Roman" w:eastAsia="宋体" w:cs="Times New Roman"/>
          <w:b w:val="0"/>
          <w:bCs/>
          <w:color w:val="auto"/>
          <w:kern w:val="2"/>
          <w:sz w:val="24"/>
          <w:szCs w:val="24"/>
          <w:highlight w:val="none"/>
          <w:lang w:val="en-US" w:eastAsia="zh-CN" w:bidi="ar-SA"/>
        </w:rPr>
        <w:t>粉煤灰</w:t>
      </w:r>
      <w:r>
        <w:rPr>
          <w:rFonts w:hint="default" w:ascii="Times New Roman" w:hAnsi="Times New Roman" w:eastAsia="宋体" w:cs="Times New Roman"/>
          <w:b w:val="0"/>
          <w:bCs/>
          <w:color w:val="auto"/>
          <w:kern w:val="2"/>
          <w:sz w:val="24"/>
          <w:szCs w:val="24"/>
          <w:highlight w:val="none"/>
          <w:lang w:val="en-US" w:eastAsia="zh-CN" w:bidi="ar-SA"/>
        </w:rPr>
        <w:t>沿管道输送到筒仓内，为气力运输，筒仓顶部排气孔将产生颗粒物。</w:t>
      </w:r>
      <w:r>
        <w:rPr>
          <w:rFonts w:hint="eastAsia" w:ascii="Times New Roman" w:hAnsi="Times New Roman" w:eastAsia="宋体" w:cs="Times New Roman"/>
          <w:b w:val="0"/>
          <w:bCs/>
          <w:color w:val="auto"/>
          <w:kern w:val="2"/>
          <w:sz w:val="24"/>
          <w:szCs w:val="24"/>
          <w:highlight w:val="none"/>
          <w:lang w:val="en-US" w:eastAsia="zh-CN" w:bidi="ar-SA"/>
        </w:rPr>
        <w:t>颗粒物产生量</w:t>
      </w:r>
      <w:r>
        <w:rPr>
          <w:rFonts w:hint="default" w:ascii="Times New Roman" w:hAnsi="Times New Roman" w:eastAsia="宋体" w:cs="Times New Roman"/>
          <w:color w:val="auto"/>
          <w:kern w:val="0"/>
          <w:sz w:val="24"/>
          <w:szCs w:val="24"/>
          <w:highlight w:val="none"/>
          <w:lang w:val="en-US" w:eastAsia="zh-CN" w:bidi="ar"/>
        </w:rPr>
        <w:t>参</w:t>
      </w:r>
      <w:r>
        <w:rPr>
          <w:rFonts w:hint="eastAsia" w:ascii="Times New Roman" w:hAnsi="Times New Roman" w:eastAsia="宋体" w:cs="Times New Roman"/>
          <w:color w:val="auto"/>
          <w:kern w:val="0"/>
          <w:sz w:val="24"/>
          <w:szCs w:val="24"/>
          <w:highlight w:val="none"/>
          <w:lang w:val="en-US" w:eastAsia="zh-CN" w:bidi="ar"/>
        </w:rPr>
        <w:t>照</w:t>
      </w:r>
      <w:r>
        <w:rPr>
          <w:rFonts w:hint="default" w:ascii="Times New Roman" w:hAnsi="Times New Roman" w:eastAsia="宋体" w:cs="Times New Roman"/>
          <w:color w:val="auto"/>
          <w:kern w:val="0"/>
          <w:sz w:val="24"/>
          <w:szCs w:val="24"/>
          <w:highlight w:val="none"/>
          <w:lang w:val="en-US" w:eastAsia="zh-CN" w:bidi="ar"/>
        </w:rPr>
        <w:t>《排放源统计调查产排污核算方法和系数手册》(生态环境部公告2021年第24号)中3021水泥制品制造(含3022砼结构构件、3029其他水泥类似制品制造)行业</w:t>
      </w:r>
      <w:r>
        <w:rPr>
          <w:rFonts w:hint="eastAsia" w:ascii="Times New Roman" w:hAnsi="Times New Roman" w:eastAsia="宋体" w:cs="Times New Roman"/>
          <w:color w:val="auto"/>
          <w:kern w:val="0"/>
          <w:sz w:val="24"/>
          <w:szCs w:val="24"/>
          <w:highlight w:val="none"/>
          <w:lang w:val="en-US" w:eastAsia="zh-CN" w:bidi="ar"/>
        </w:rPr>
        <w:t>混凝土</w:t>
      </w:r>
      <w:r>
        <w:rPr>
          <w:rFonts w:hint="default" w:ascii="Times New Roman" w:hAnsi="Times New Roman" w:eastAsia="宋体" w:cs="Times New Roman"/>
          <w:color w:val="auto"/>
          <w:kern w:val="0"/>
          <w:sz w:val="24"/>
          <w:szCs w:val="24"/>
          <w:highlight w:val="none"/>
          <w:lang w:val="en-US" w:eastAsia="zh-CN" w:bidi="ar"/>
        </w:rPr>
        <w:t>制品物料输送储存产污系数为0.12kg/t-产品</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本项目</w:t>
      </w:r>
      <w:r>
        <w:rPr>
          <w:rFonts w:hint="eastAsia" w:ascii="Times New Roman" w:hAnsi="Times New Roman" w:eastAsia="宋体" w:cs="Times New Roman"/>
          <w:b w:val="0"/>
          <w:bCs/>
          <w:color w:val="auto"/>
          <w:kern w:val="2"/>
          <w:sz w:val="24"/>
          <w:szCs w:val="24"/>
          <w:highlight w:val="none"/>
          <w:lang w:val="en-US" w:eastAsia="zh-CN" w:bidi="ar-SA"/>
        </w:rPr>
        <w:t>粉煤灰</w:t>
      </w:r>
      <w:r>
        <w:rPr>
          <w:rFonts w:hint="default" w:ascii="Times New Roman" w:hAnsi="Times New Roman" w:eastAsia="宋体" w:cs="Times New Roman"/>
          <w:b w:val="0"/>
          <w:bCs/>
          <w:color w:val="auto"/>
          <w:kern w:val="2"/>
          <w:sz w:val="24"/>
          <w:szCs w:val="24"/>
          <w:highlight w:val="none"/>
          <w:lang w:val="en-US" w:eastAsia="zh-CN" w:bidi="ar-SA"/>
        </w:rPr>
        <w:t>筒仓顶布设置1套脉冲式袋式除尘器，除尘效率为99</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w:t>
      </w:r>
    </w:p>
    <w:p>
      <w:pPr>
        <w:pStyle w:val="130"/>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粉煤灰筒仓加料时加料车会产生负压，单车最大运输量按</w:t>
      </w:r>
      <w:r>
        <w:rPr>
          <w:rFonts w:hint="default" w:ascii="Times New Roman" w:hAnsi="Times New Roman" w:eastAsia="宋体" w:cs="Times New Roman"/>
          <w:b w:val="0"/>
          <w:bCs/>
          <w:color w:val="auto"/>
          <w:kern w:val="2"/>
          <w:sz w:val="24"/>
          <w:szCs w:val="24"/>
          <w:highlight w:val="none"/>
          <w:lang w:val="en-US" w:eastAsia="zh-CN" w:bidi="ar-SA"/>
        </w:rPr>
        <w:t>30t/</w:t>
      </w:r>
      <w:r>
        <w:rPr>
          <w:rFonts w:hint="eastAsia" w:ascii="Times New Roman" w:hAnsi="Times New Roman" w:eastAsia="宋体" w:cs="Times New Roman"/>
          <w:b w:val="0"/>
          <w:bCs/>
          <w:color w:val="auto"/>
          <w:kern w:val="2"/>
          <w:sz w:val="24"/>
          <w:szCs w:val="24"/>
          <w:highlight w:val="none"/>
          <w:lang w:val="en-US" w:eastAsia="zh-CN" w:bidi="ar-SA"/>
        </w:rPr>
        <w:t>车，每车充装时间为</w:t>
      </w:r>
      <w:r>
        <w:rPr>
          <w:rFonts w:hint="default" w:ascii="Times New Roman" w:hAnsi="Times New Roman" w:eastAsia="宋体" w:cs="Times New Roman"/>
          <w:b w:val="0"/>
          <w:bCs/>
          <w:color w:val="auto"/>
          <w:kern w:val="2"/>
          <w:sz w:val="24"/>
          <w:szCs w:val="24"/>
          <w:highlight w:val="none"/>
          <w:lang w:val="en-US" w:eastAsia="zh-CN" w:bidi="ar-SA"/>
        </w:rPr>
        <w:t>45min</w:t>
      </w:r>
      <w:r>
        <w:rPr>
          <w:rFonts w:hint="eastAsia" w:ascii="Times New Roman" w:hAnsi="Times New Roman" w:eastAsia="宋体" w:cs="Times New Roman"/>
          <w:b w:val="0"/>
          <w:bCs/>
          <w:color w:val="auto"/>
          <w:kern w:val="2"/>
          <w:sz w:val="24"/>
          <w:szCs w:val="24"/>
          <w:highlight w:val="none"/>
          <w:lang w:val="en-US" w:eastAsia="zh-CN" w:bidi="ar-SA"/>
        </w:rPr>
        <w:t>。本项目粉煤灰的年用量为</w:t>
      </w:r>
      <w:r>
        <w:rPr>
          <w:rFonts w:hint="default" w:ascii="Times New Roman" w:hAnsi="Times New Roman" w:cs="Times New Roman"/>
          <w:b w:val="0"/>
          <w:bCs/>
          <w:color w:val="auto"/>
          <w:kern w:val="2"/>
          <w:sz w:val="24"/>
          <w:szCs w:val="24"/>
          <w:highlight w:val="none"/>
          <w:lang w:val="en-US" w:eastAsia="zh-CN" w:bidi="ar-SA"/>
        </w:rPr>
        <w:t>4</w:t>
      </w:r>
      <w:r>
        <w:rPr>
          <w:rFonts w:hint="default" w:ascii="Times New Roman" w:hAnsi="Times New Roman" w:eastAsia="宋体" w:cs="Times New Roman"/>
          <w:b w:val="0"/>
          <w:bCs/>
          <w:color w:val="auto"/>
          <w:kern w:val="2"/>
          <w:sz w:val="24"/>
          <w:szCs w:val="24"/>
          <w:highlight w:val="none"/>
          <w:lang w:val="en-US" w:eastAsia="zh-CN" w:bidi="ar-SA"/>
        </w:rPr>
        <w:t>000t</w:t>
      </w:r>
      <w:r>
        <w:rPr>
          <w:rFonts w:hint="eastAsia" w:ascii="Times New Roman" w:hAnsi="Times New Roman" w:eastAsia="宋体" w:cs="Times New Roman"/>
          <w:b w:val="0"/>
          <w:bCs/>
          <w:color w:val="auto"/>
          <w:kern w:val="2"/>
          <w:sz w:val="24"/>
          <w:szCs w:val="24"/>
          <w:highlight w:val="none"/>
          <w:lang w:val="en-US" w:eastAsia="zh-CN" w:bidi="ar-SA"/>
        </w:rPr>
        <w:t>，建设</w:t>
      </w:r>
      <w:r>
        <w:rPr>
          <w:rFonts w:hint="default" w:ascii="Times New Roman" w:hAnsi="Times New Roman" w:eastAsia="宋体" w:cs="Times New Roman"/>
          <w:b w:val="0"/>
          <w:bCs/>
          <w:color w:val="auto"/>
          <w:kern w:val="2"/>
          <w:sz w:val="24"/>
          <w:szCs w:val="24"/>
          <w:highlight w:val="none"/>
          <w:lang w:val="en-US" w:eastAsia="zh-CN" w:bidi="ar-SA"/>
        </w:rPr>
        <w:t>1</w:t>
      </w:r>
      <w:r>
        <w:rPr>
          <w:rFonts w:hint="eastAsia" w:ascii="Times New Roman" w:hAnsi="Times New Roman" w:eastAsia="宋体" w:cs="Times New Roman"/>
          <w:b w:val="0"/>
          <w:bCs/>
          <w:color w:val="auto"/>
          <w:kern w:val="2"/>
          <w:sz w:val="24"/>
          <w:szCs w:val="24"/>
          <w:highlight w:val="none"/>
          <w:lang w:val="en-US" w:eastAsia="zh-CN" w:bidi="ar-SA"/>
        </w:rPr>
        <w:t>座粉煤灰筒仓，则粉煤灰筒仓的年充装时间为</w:t>
      </w:r>
      <w:r>
        <w:rPr>
          <w:rFonts w:hint="default" w:ascii="Times New Roman" w:hAnsi="Times New Roman" w:cs="Times New Roman"/>
          <w:b w:val="0"/>
          <w:bCs/>
          <w:color w:val="auto"/>
          <w:kern w:val="2"/>
          <w:sz w:val="24"/>
          <w:szCs w:val="24"/>
          <w:highlight w:val="none"/>
          <w:lang w:val="en-US" w:eastAsia="zh-CN" w:bidi="ar-SA"/>
        </w:rPr>
        <w:t>1</w:t>
      </w:r>
      <w:r>
        <w:rPr>
          <w:rFonts w:hint="default" w:ascii="Times New Roman" w:hAnsi="Times New Roman" w:eastAsia="宋体" w:cs="Times New Roman"/>
          <w:b w:val="0"/>
          <w:bCs/>
          <w:color w:val="auto"/>
          <w:kern w:val="2"/>
          <w:sz w:val="24"/>
          <w:szCs w:val="24"/>
          <w:highlight w:val="none"/>
          <w:lang w:val="en-US" w:eastAsia="zh-CN" w:bidi="ar-SA"/>
        </w:rPr>
        <w:t>00h</w:t>
      </w:r>
      <w:r>
        <w:rPr>
          <w:rFonts w:hint="eastAsia" w:ascii="Times New Roman" w:hAnsi="Times New Roman" w:eastAsia="宋体" w:cs="Times New Roman"/>
          <w:b w:val="0"/>
          <w:bCs/>
          <w:color w:val="auto"/>
          <w:kern w:val="2"/>
          <w:sz w:val="24"/>
          <w:szCs w:val="24"/>
          <w:highlight w:val="none"/>
          <w:lang w:val="en-US" w:eastAsia="zh-CN" w:bidi="ar-SA"/>
        </w:rPr>
        <w:t>。粉煤灰筒仓排放颗粒物仅在水泥筒仓进料呼吸时进行排放，粉煤灰筒仓的粉尘产生量为</w:t>
      </w:r>
      <w:r>
        <w:rPr>
          <w:rFonts w:hint="default" w:ascii="Times New Roman" w:hAnsi="Times New Roman" w:eastAsia="宋体" w:cs="Times New Roman"/>
          <w:b w:val="0"/>
          <w:bCs/>
          <w:color w:val="auto"/>
          <w:kern w:val="2"/>
          <w:sz w:val="24"/>
          <w:szCs w:val="24"/>
          <w:highlight w:val="none"/>
          <w:lang w:val="en-US" w:eastAsia="zh-CN" w:bidi="ar-SA"/>
        </w:rPr>
        <w:t>0</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48</w:t>
      </w:r>
      <w:r>
        <w:rPr>
          <w:rFonts w:hint="default" w:ascii="Times New Roman" w:hAnsi="Times New Roman" w:eastAsia="宋体" w:cs="Times New Roman"/>
          <w:b w:val="0"/>
          <w:bCs/>
          <w:color w:val="auto"/>
          <w:kern w:val="2"/>
          <w:sz w:val="24"/>
          <w:szCs w:val="24"/>
          <w:highlight w:val="none"/>
          <w:lang w:val="en-US" w:eastAsia="zh-CN" w:bidi="ar-SA"/>
        </w:rPr>
        <w:t>t/a</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4</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8kg/h</w:t>
      </w:r>
      <w:r>
        <w:rPr>
          <w:rFonts w:hint="eastAsia" w:ascii="Times New Roman" w:hAnsi="Times New Roman" w:eastAsia="宋体" w:cs="Times New Roman"/>
          <w:b w:val="0"/>
          <w:bCs/>
          <w:color w:val="auto"/>
          <w:kern w:val="2"/>
          <w:sz w:val="24"/>
          <w:szCs w:val="24"/>
          <w:highlight w:val="none"/>
          <w:lang w:val="en-US" w:eastAsia="zh-CN" w:bidi="ar-SA"/>
        </w:rPr>
        <w:t>），经筒仓自带的布袋除尘器</w:t>
      </w:r>
      <w:r>
        <w:rPr>
          <w:rFonts w:hint="eastAsia" w:cs="Times New Roman"/>
          <w:b w:val="0"/>
          <w:bCs/>
          <w:color w:val="auto"/>
          <w:kern w:val="2"/>
          <w:sz w:val="24"/>
          <w:szCs w:val="24"/>
          <w:highlight w:val="none"/>
          <w:lang w:val="en-US" w:eastAsia="zh-CN" w:bidi="ar-SA"/>
        </w:rPr>
        <w:t>（无动力除尘）</w:t>
      </w:r>
      <w:r>
        <w:rPr>
          <w:rFonts w:hint="eastAsia" w:ascii="Times New Roman" w:hAnsi="Times New Roman" w:eastAsia="宋体" w:cs="Times New Roman"/>
          <w:b w:val="0"/>
          <w:bCs/>
          <w:color w:val="auto"/>
          <w:kern w:val="2"/>
          <w:sz w:val="24"/>
          <w:szCs w:val="24"/>
          <w:highlight w:val="none"/>
          <w:lang w:val="en-US" w:eastAsia="zh-CN" w:bidi="ar-SA"/>
        </w:rPr>
        <w:t>处理后通过罐顶无组织排放，处理效率</w:t>
      </w:r>
      <w:r>
        <w:rPr>
          <w:rFonts w:hint="default" w:ascii="Times New Roman" w:hAnsi="Times New Roman" w:eastAsia="宋体" w:cs="Times New Roman"/>
          <w:b w:val="0"/>
          <w:bCs/>
          <w:color w:val="auto"/>
          <w:kern w:val="2"/>
          <w:sz w:val="24"/>
          <w:szCs w:val="24"/>
          <w:highlight w:val="none"/>
          <w:lang w:val="en-US" w:eastAsia="zh-CN" w:bidi="ar-SA"/>
        </w:rPr>
        <w:t>99</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w:t>
      </w:r>
      <w:r>
        <w:rPr>
          <w:rFonts w:hint="eastAsia" w:cs="Times New Roman"/>
          <w:b w:val="0"/>
          <w:bCs/>
          <w:color w:val="auto"/>
          <w:kern w:val="2"/>
          <w:sz w:val="24"/>
          <w:szCs w:val="24"/>
          <w:highlight w:val="none"/>
          <w:lang w:val="en-US" w:eastAsia="zh-CN" w:bidi="ar-SA"/>
        </w:rPr>
        <w:t>.</w:t>
      </w:r>
      <w:r>
        <w:rPr>
          <w:rFonts w:hint="eastAsia" w:ascii="Times New Roman" w:hAnsi="Times New Roman" w:eastAsia="宋体" w:cs="Times New Roman"/>
          <w:b w:val="0"/>
          <w:bCs/>
          <w:color w:val="auto"/>
          <w:kern w:val="2"/>
          <w:sz w:val="24"/>
          <w:szCs w:val="24"/>
          <w:highlight w:val="none"/>
          <w:lang w:val="en-US" w:eastAsia="zh-CN" w:bidi="ar-SA"/>
        </w:rPr>
        <w:t>，则粉煤灰筒仓粉尘排放量为</w:t>
      </w:r>
      <w:r>
        <w:rPr>
          <w:rFonts w:hint="default" w:ascii="Times New Roman" w:hAnsi="Times New Roman" w:eastAsia="宋体" w:cs="Times New Roman"/>
          <w:b w:val="0"/>
          <w:bCs/>
          <w:color w:val="auto"/>
          <w:kern w:val="2"/>
          <w:sz w:val="24"/>
          <w:szCs w:val="24"/>
          <w:highlight w:val="none"/>
          <w:lang w:val="en-US" w:eastAsia="zh-CN" w:bidi="ar-SA"/>
        </w:rPr>
        <w:t>0</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00</w:t>
      </w:r>
      <w:r>
        <w:rPr>
          <w:rFonts w:hint="default" w:ascii="Times New Roman" w:hAnsi="Times New Roman" w:cs="Times New Roman"/>
          <w:b w:val="0"/>
          <w:bCs/>
          <w:color w:val="auto"/>
          <w:kern w:val="2"/>
          <w:sz w:val="24"/>
          <w:szCs w:val="24"/>
          <w:highlight w:val="none"/>
          <w:lang w:val="en-US" w:eastAsia="zh-CN" w:bidi="ar-SA"/>
        </w:rPr>
        <w:t>24</w:t>
      </w:r>
      <w:r>
        <w:rPr>
          <w:rFonts w:hint="default" w:ascii="Times New Roman" w:hAnsi="Times New Roman" w:eastAsia="宋体" w:cs="Times New Roman"/>
          <w:b w:val="0"/>
          <w:bCs/>
          <w:color w:val="auto"/>
          <w:kern w:val="2"/>
          <w:sz w:val="24"/>
          <w:szCs w:val="24"/>
          <w:highlight w:val="none"/>
          <w:lang w:val="en-US" w:eastAsia="zh-CN" w:bidi="ar-SA"/>
        </w:rPr>
        <w:t>t/a</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0</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0</w:t>
      </w:r>
      <w:r>
        <w:rPr>
          <w:rFonts w:hint="default" w:ascii="Times New Roman" w:hAnsi="Times New Roman" w:cs="Times New Roman"/>
          <w:b w:val="0"/>
          <w:bCs/>
          <w:color w:val="auto"/>
          <w:kern w:val="2"/>
          <w:sz w:val="24"/>
          <w:szCs w:val="24"/>
          <w:highlight w:val="none"/>
          <w:lang w:val="en-US" w:eastAsia="zh-CN" w:bidi="ar-SA"/>
        </w:rPr>
        <w:t>24</w:t>
      </w:r>
      <w:r>
        <w:rPr>
          <w:rFonts w:hint="default" w:ascii="Times New Roman" w:hAnsi="Times New Roman" w:eastAsia="宋体" w:cs="Times New Roman"/>
          <w:b w:val="0"/>
          <w:bCs/>
          <w:color w:val="auto"/>
          <w:kern w:val="2"/>
          <w:sz w:val="24"/>
          <w:szCs w:val="24"/>
          <w:highlight w:val="none"/>
          <w:lang w:val="en-US" w:eastAsia="zh-CN" w:bidi="ar-SA"/>
        </w:rPr>
        <w:t>kg/h</w:t>
      </w:r>
      <w:r>
        <w:rPr>
          <w:rFonts w:hint="eastAsia" w:ascii="Times New Roman" w:hAnsi="Times New Roman" w:eastAsia="宋体" w:cs="Times New Roman"/>
          <w:b w:val="0"/>
          <w:bCs/>
          <w:color w:val="auto"/>
          <w:kern w:val="2"/>
          <w:sz w:val="24"/>
          <w:szCs w:val="24"/>
          <w:highlight w:val="none"/>
          <w:lang w:val="en-US" w:eastAsia="zh-CN" w:bidi="ar-SA"/>
        </w:rPr>
        <w:t>）。</w:t>
      </w:r>
    </w:p>
    <w:p>
      <w:pPr>
        <w:pStyle w:val="130"/>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4</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投料粉尘</w:t>
      </w:r>
    </w:p>
    <w:p>
      <w:pPr>
        <w:pStyle w:val="130"/>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 xml:space="preserve">砂通过铲车送至进料口进入砂仓，碎石通过铲车送至进料口进入石仓，经配料门进入计量斗，计量斗根据微机指令控制比例后卸在输送带上运入搅拌机。 </w:t>
      </w:r>
    </w:p>
    <w:p>
      <w:pPr>
        <w:pStyle w:val="130"/>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参照《逸散性</w:t>
      </w:r>
      <w:r>
        <w:rPr>
          <w:rFonts w:hint="eastAsia" w:ascii="Times New Roman" w:hAnsi="Times New Roman" w:eastAsia="宋体" w:cs="Times New Roman"/>
          <w:b w:val="0"/>
          <w:bCs/>
          <w:color w:val="auto"/>
          <w:kern w:val="2"/>
          <w:sz w:val="24"/>
          <w:szCs w:val="24"/>
          <w:highlight w:val="none"/>
          <w:lang w:val="en-US" w:eastAsia="zh-CN" w:bidi="ar-SA"/>
        </w:rPr>
        <w:t>工</w:t>
      </w:r>
      <w:r>
        <w:rPr>
          <w:rFonts w:hint="default" w:ascii="Times New Roman" w:hAnsi="Times New Roman" w:eastAsia="宋体" w:cs="Times New Roman"/>
          <w:b w:val="0"/>
          <w:bCs/>
          <w:color w:val="auto"/>
          <w:kern w:val="2"/>
          <w:sz w:val="24"/>
          <w:szCs w:val="24"/>
          <w:highlight w:val="none"/>
          <w:lang w:val="en-US" w:eastAsia="zh-CN" w:bidi="ar-SA"/>
        </w:rPr>
        <w:t>业粉尘控制技术》(J.A奥里蒙，中国环境科学出版社)，</w:t>
      </w:r>
      <w:r>
        <w:rPr>
          <w:rFonts w:hint="eastAsia" w:ascii="Times New Roman" w:hAnsi="Times New Roman" w:eastAsia="宋体" w:cs="Times New Roman"/>
          <w:b w:val="0"/>
          <w:bCs/>
          <w:color w:val="auto"/>
          <w:kern w:val="2"/>
          <w:sz w:val="24"/>
          <w:szCs w:val="24"/>
          <w:highlight w:val="none"/>
          <w:lang w:val="en-US" w:eastAsia="zh-CN" w:bidi="ar-SA"/>
        </w:rPr>
        <w:t>砂石</w:t>
      </w:r>
      <w:r>
        <w:rPr>
          <w:rFonts w:hint="default" w:ascii="Times New Roman" w:hAnsi="Times New Roman" w:eastAsia="宋体" w:cs="Times New Roman"/>
          <w:b w:val="0"/>
          <w:bCs/>
          <w:color w:val="auto"/>
          <w:kern w:val="2"/>
          <w:sz w:val="24"/>
          <w:szCs w:val="24"/>
          <w:highlight w:val="none"/>
          <w:lang w:val="en-US" w:eastAsia="zh-CN" w:bidi="ar-SA"/>
        </w:rPr>
        <w:t>直接装卸、投料产生的粉尘系数为0.02kg/t-原料</w:t>
      </w:r>
      <w:r>
        <w:rPr>
          <w:rFonts w:hint="eastAsia" w:ascii="Times New Roman" w:hAnsi="Times New Roman" w:eastAsia="宋体" w:cs="Times New Roman"/>
          <w:b w:val="0"/>
          <w:bCs/>
          <w:color w:val="auto"/>
          <w:kern w:val="2"/>
          <w:sz w:val="24"/>
          <w:szCs w:val="24"/>
          <w:highlight w:val="none"/>
          <w:lang w:val="en-US" w:eastAsia="zh-CN" w:bidi="ar-SA"/>
        </w:rPr>
        <w:t>，本项目砂石原料共</w:t>
      </w:r>
      <w:r>
        <w:rPr>
          <w:rFonts w:hint="default" w:ascii="Times New Roman" w:hAnsi="Times New Roman" w:eastAsia="宋体" w:cs="Times New Roman"/>
          <w:b w:val="0"/>
          <w:bCs/>
          <w:color w:val="auto"/>
          <w:kern w:val="2"/>
          <w:sz w:val="24"/>
          <w:szCs w:val="24"/>
          <w:highlight w:val="none"/>
          <w:lang w:val="en-US" w:eastAsia="zh-CN" w:bidi="ar-SA"/>
        </w:rPr>
        <w:t>191985t/a</w:t>
      </w:r>
      <w:r>
        <w:rPr>
          <w:rFonts w:hint="eastAsia" w:ascii="Times New Roman" w:hAnsi="Times New Roman" w:eastAsia="宋体" w:cs="Times New Roman"/>
          <w:b w:val="0"/>
          <w:bCs/>
          <w:color w:val="auto"/>
          <w:kern w:val="2"/>
          <w:sz w:val="24"/>
          <w:szCs w:val="24"/>
          <w:highlight w:val="none"/>
          <w:lang w:val="en-US" w:eastAsia="zh-CN" w:bidi="ar-SA"/>
        </w:rPr>
        <w:t>，粉尘产生量为</w:t>
      </w:r>
      <w:r>
        <w:rPr>
          <w:rFonts w:hint="default" w:ascii="Times New Roman" w:hAnsi="Times New Roman" w:cs="Times New Roman"/>
          <w:b w:val="0"/>
          <w:bCs/>
          <w:color w:val="auto"/>
          <w:kern w:val="2"/>
          <w:sz w:val="24"/>
          <w:szCs w:val="24"/>
          <w:highlight w:val="none"/>
          <w:lang w:val="en-US" w:eastAsia="zh-CN" w:bidi="ar-SA"/>
        </w:rPr>
        <w:t>1</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626</w:t>
      </w:r>
      <w:r>
        <w:rPr>
          <w:rFonts w:hint="default" w:ascii="Times New Roman" w:hAnsi="Times New Roman" w:eastAsia="宋体" w:cs="Times New Roman"/>
          <w:b w:val="0"/>
          <w:bCs/>
          <w:color w:val="auto"/>
          <w:kern w:val="2"/>
          <w:sz w:val="24"/>
          <w:szCs w:val="24"/>
          <w:highlight w:val="none"/>
          <w:lang w:val="en-US" w:eastAsia="zh-CN" w:bidi="ar-SA"/>
        </w:rPr>
        <w:t>t/a</w:t>
      </w:r>
      <w:r>
        <w:rPr>
          <w:rFonts w:hint="eastAsia" w:ascii="Times New Roman" w:hAnsi="Times New Roman" w:eastAsia="宋体" w:cs="Times New Roman"/>
          <w:b w:val="0"/>
          <w:bCs/>
          <w:color w:val="auto"/>
          <w:kern w:val="2"/>
          <w:sz w:val="24"/>
          <w:szCs w:val="24"/>
          <w:highlight w:val="none"/>
          <w:lang w:val="en-US" w:eastAsia="zh-CN" w:bidi="ar-SA"/>
        </w:rPr>
        <w:t>，产生速率均为</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85</w:t>
      </w:r>
      <w:r>
        <w:rPr>
          <w:rFonts w:hint="default" w:ascii="Times New Roman" w:hAnsi="Times New Roman" w:eastAsia="宋体" w:cs="Times New Roman"/>
          <w:b w:val="0"/>
          <w:bCs/>
          <w:color w:val="auto"/>
          <w:kern w:val="2"/>
          <w:sz w:val="24"/>
          <w:szCs w:val="24"/>
          <w:highlight w:val="none"/>
          <w:lang w:val="en-US" w:eastAsia="zh-CN" w:bidi="ar-SA"/>
        </w:rPr>
        <w:t>kg/h</w:t>
      </w:r>
      <w:r>
        <w:rPr>
          <w:rFonts w:hint="eastAsia" w:ascii="Times New Roman" w:hAnsi="Times New Roman" w:eastAsia="宋体" w:cs="Times New Roman"/>
          <w:b w:val="0"/>
          <w:bCs/>
          <w:color w:val="auto"/>
          <w:kern w:val="2"/>
          <w:sz w:val="24"/>
          <w:szCs w:val="24"/>
          <w:highlight w:val="none"/>
          <w:lang w:val="en-US" w:eastAsia="zh-CN" w:bidi="ar-SA"/>
        </w:rPr>
        <w:t xml:space="preserve">。 </w:t>
      </w:r>
    </w:p>
    <w:p>
      <w:pPr>
        <w:pStyle w:val="130"/>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本项目投料斗上方设置半封闭式罩棚</w:t>
      </w:r>
      <w:r>
        <w:rPr>
          <w:rFonts w:hint="eastAsia" w:ascii="Times New Roman" w:hAnsi="Times New Roman" w:cs="Times New Roman"/>
          <w:b w:val="0"/>
          <w:bCs/>
          <w:color w:val="auto"/>
          <w:kern w:val="2"/>
          <w:sz w:val="24"/>
          <w:szCs w:val="24"/>
          <w:highlight w:val="none"/>
          <w:lang w:val="en-US" w:eastAsia="zh-CN" w:bidi="ar-SA"/>
        </w:rPr>
        <w:t>；</w:t>
      </w:r>
      <w:r>
        <w:rPr>
          <w:rFonts w:hint="eastAsia" w:ascii="Times New Roman" w:hAnsi="Times New Roman" w:eastAsia="宋体" w:cs="Times New Roman"/>
          <w:b w:val="0"/>
          <w:bCs/>
          <w:color w:val="auto"/>
          <w:kern w:val="2"/>
          <w:sz w:val="24"/>
          <w:szCs w:val="24"/>
          <w:highlight w:val="none"/>
          <w:lang w:val="en-US" w:eastAsia="zh-CN" w:bidi="ar-SA"/>
        </w:rPr>
        <w:t>并在投料口上方</w:t>
      </w:r>
      <w:r>
        <w:rPr>
          <w:rFonts w:hint="default" w:ascii="Times New Roman" w:hAnsi="Times New Roman" w:eastAsia="宋体" w:cs="Times New Roman"/>
          <w:b w:val="0"/>
          <w:bCs/>
          <w:color w:val="auto"/>
          <w:kern w:val="2"/>
          <w:sz w:val="24"/>
          <w:szCs w:val="24"/>
          <w:highlight w:val="none"/>
          <w:lang w:val="en-US" w:eastAsia="zh-CN" w:bidi="ar-SA"/>
        </w:rPr>
        <w:t>设置</w:t>
      </w:r>
      <w:r>
        <w:rPr>
          <w:rFonts w:hint="eastAsia" w:ascii="Times New Roman" w:hAnsi="Times New Roman" w:eastAsia="宋体" w:cs="Times New Roman"/>
          <w:b w:val="0"/>
          <w:bCs/>
          <w:color w:val="auto"/>
          <w:kern w:val="2"/>
          <w:sz w:val="24"/>
          <w:szCs w:val="24"/>
          <w:highlight w:val="none"/>
          <w:lang w:val="en-US" w:eastAsia="zh-CN" w:bidi="ar-SA"/>
        </w:rPr>
        <w:t>雾化喷淋装置</w:t>
      </w:r>
      <w:r>
        <w:rPr>
          <w:rFonts w:hint="default" w:ascii="Times New Roman" w:hAnsi="Times New Roman" w:eastAsia="宋体" w:cs="Times New Roman"/>
          <w:b w:val="0"/>
          <w:bCs/>
          <w:color w:val="auto"/>
          <w:kern w:val="2"/>
          <w:sz w:val="24"/>
          <w:szCs w:val="24"/>
          <w:highlight w:val="none"/>
          <w:lang w:val="en-US" w:eastAsia="zh-CN" w:bidi="ar-SA"/>
        </w:rPr>
        <w:t>，适当增加该区域空气含水率，加快粉尘沉降。根据《除尘工程设计手册》(第二版)</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湿法除尘设计除尘效率可达到90~99%，按最不利因素本项目水</w:t>
      </w:r>
      <w:r>
        <w:rPr>
          <w:rFonts w:hint="eastAsia" w:ascii="Times New Roman" w:hAnsi="Times New Roman" w:eastAsia="宋体" w:cs="Times New Roman"/>
          <w:b w:val="0"/>
          <w:bCs/>
          <w:color w:val="auto"/>
          <w:kern w:val="2"/>
          <w:sz w:val="24"/>
          <w:szCs w:val="24"/>
          <w:highlight w:val="none"/>
          <w:lang w:val="en-US" w:eastAsia="zh-CN" w:bidi="ar-SA"/>
        </w:rPr>
        <w:t>喷雾</w:t>
      </w:r>
      <w:r>
        <w:rPr>
          <w:rFonts w:hint="default" w:ascii="Times New Roman" w:hAnsi="Times New Roman" w:eastAsia="宋体" w:cs="Times New Roman"/>
          <w:b w:val="0"/>
          <w:bCs/>
          <w:color w:val="auto"/>
          <w:kern w:val="2"/>
          <w:sz w:val="24"/>
          <w:szCs w:val="24"/>
          <w:highlight w:val="none"/>
          <w:lang w:val="en-US" w:eastAsia="zh-CN" w:bidi="ar-SA"/>
        </w:rPr>
        <w:t>除尘效率取90%，则投料产生的无组织粉尘排放量约为</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163</w:t>
      </w:r>
      <w:r>
        <w:rPr>
          <w:rFonts w:hint="default" w:ascii="Times New Roman" w:hAnsi="Times New Roman" w:eastAsia="宋体" w:cs="Times New Roman"/>
          <w:b w:val="0"/>
          <w:bCs/>
          <w:color w:val="auto"/>
          <w:kern w:val="2"/>
          <w:sz w:val="24"/>
          <w:szCs w:val="24"/>
          <w:highlight w:val="none"/>
          <w:lang w:val="en-US" w:eastAsia="zh-CN" w:bidi="ar-SA"/>
        </w:rPr>
        <w:t>t/a，排放速率约0</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085</w:t>
      </w:r>
      <w:r>
        <w:rPr>
          <w:rFonts w:hint="default" w:ascii="Times New Roman" w:hAnsi="Times New Roman" w:eastAsia="宋体" w:cs="Times New Roman"/>
          <w:b w:val="0"/>
          <w:bCs/>
          <w:color w:val="auto"/>
          <w:kern w:val="2"/>
          <w:sz w:val="24"/>
          <w:szCs w:val="24"/>
          <w:highlight w:val="none"/>
          <w:lang w:val="en-US" w:eastAsia="zh-CN" w:bidi="ar-SA"/>
        </w:rPr>
        <w:t>kg</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h。</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color w:val="auto"/>
          <w:kern w:val="2"/>
          <w:sz w:val="24"/>
          <w:szCs w:val="24"/>
          <w:highlight w:val="none"/>
          <w:lang w:val="en-US" w:eastAsia="zh-CN" w:bidi="ar-SA"/>
        </w:rPr>
      </w:pP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5</w:t>
      </w:r>
      <w:r>
        <w:rPr>
          <w:rFonts w:hint="eastAsia" w:cs="Times New Roman"/>
          <w:b w:val="0"/>
          <w:bCs/>
          <w:color w:val="auto"/>
          <w:kern w:val="2"/>
          <w:sz w:val="24"/>
          <w:szCs w:val="24"/>
          <w:highlight w:val="none"/>
          <w:lang w:val="en-US" w:eastAsia="zh-CN" w:bidi="ar-SA"/>
        </w:rPr>
        <w:t>）车辆运输扬尘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本项目原料水泥、粉煤灰采用专用水泥运输罐车运输运入厂区，原料砂石料采用汽车运输，砂石料运输车辆全部采用苫布覆盖。运输产生的粉尘主要是沿途抛洒及道路行驶引起的扬尘，属于无组织排放源。</w:t>
      </w:r>
      <w:r>
        <w:rPr>
          <w:rFonts w:hint="default" w:ascii="Times New Roman" w:hAnsi="Times New Roman" w:eastAsia="宋体" w:cs="Times New Roman"/>
          <w:color w:val="auto"/>
          <w:kern w:val="0"/>
          <w:sz w:val="24"/>
          <w:szCs w:val="24"/>
          <w:lang w:val="en-US" w:eastAsia="zh-CN" w:bidi="ar"/>
        </w:rPr>
        <w:t xml:space="preserve">选用上海港环境保护中心和武汉水运工程学院提出的经验公式估算（朱景韩，韩健国等；汽车道路扬尘规律研究[J]；交通环保；1986 年Z1期），计算： </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Q = 0.123 (V/5) (W/6.8) </w:t>
      </w:r>
      <w:r>
        <w:rPr>
          <w:rFonts w:hint="default" w:ascii="Times New Roman" w:hAnsi="Times New Roman" w:eastAsia="宋体" w:cs="Times New Roman"/>
          <w:color w:val="auto"/>
          <w:kern w:val="0"/>
          <w:sz w:val="24"/>
          <w:szCs w:val="24"/>
          <w:vertAlign w:val="superscript"/>
          <w:lang w:val="en-US" w:eastAsia="zh-CN" w:bidi="ar"/>
        </w:rPr>
        <w:t xml:space="preserve">0.85 </w:t>
      </w:r>
      <w:r>
        <w:rPr>
          <w:rFonts w:hint="default" w:ascii="Times New Roman" w:hAnsi="Times New Roman" w:eastAsia="宋体" w:cs="Times New Roman"/>
          <w:color w:val="auto"/>
          <w:kern w:val="0"/>
          <w:sz w:val="24"/>
          <w:szCs w:val="24"/>
          <w:lang w:val="en-US" w:eastAsia="zh-CN" w:bidi="ar"/>
        </w:rPr>
        <w:t xml:space="preserve">(P/0.5) </w:t>
      </w:r>
      <w:r>
        <w:rPr>
          <w:rFonts w:hint="default" w:ascii="Times New Roman" w:hAnsi="Times New Roman" w:eastAsia="宋体" w:cs="Times New Roman"/>
          <w:color w:val="auto"/>
          <w:kern w:val="0"/>
          <w:sz w:val="24"/>
          <w:szCs w:val="24"/>
          <w:vertAlign w:val="superscript"/>
          <w:lang w:val="en-US" w:eastAsia="zh-CN" w:bidi="ar"/>
        </w:rPr>
        <w:t>0.75</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式中：Q：汽车行驶时的扬尘，kg/km·辆；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V：汽车速度，km/h；（本次以10km/h计）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W：汽车载重量，吨；（本次以25t计）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P：道路表面扬尘量，kg/m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（本次以0.1kg/m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 xml:space="preserve">计）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本项目车辆在厂区内完成一次运输要200m，项目单辆汽车运输量为25t，则需运</w:t>
      </w:r>
      <w:r>
        <w:rPr>
          <w:rFonts w:hint="default" w:ascii="Times New Roman" w:hAnsi="Times New Roman" w:cs="Times New Roman"/>
          <w:color w:val="auto"/>
          <w:kern w:val="0"/>
          <w:sz w:val="24"/>
          <w:szCs w:val="24"/>
          <w:lang w:val="en-US" w:eastAsia="zh-CN" w:bidi="ar"/>
        </w:rPr>
        <w:t>3245</w:t>
      </w:r>
      <w:r>
        <w:rPr>
          <w:rFonts w:hint="default" w:ascii="Times New Roman" w:hAnsi="Times New Roman" w:eastAsia="宋体" w:cs="Times New Roman"/>
          <w:color w:val="auto"/>
          <w:kern w:val="0"/>
          <w:sz w:val="24"/>
          <w:szCs w:val="24"/>
          <w:lang w:val="en-US" w:eastAsia="zh-CN" w:bidi="ar"/>
        </w:rPr>
        <w:t>次完成运输任务。以速度10km/h行驶，则本项目运输车辆的起尘量为</w:t>
      </w:r>
      <w:r>
        <w:rPr>
          <w:rFonts w:hint="default" w:ascii="Times New Roman" w:hAnsi="Times New Roman" w:cs="Times New Roman"/>
          <w:color w:val="auto"/>
          <w:kern w:val="0"/>
          <w:sz w:val="24"/>
          <w:szCs w:val="24"/>
          <w:lang w:val="en-US" w:eastAsia="zh-CN" w:bidi="ar"/>
        </w:rPr>
        <w:t>0</w:t>
      </w:r>
      <w:r>
        <w:rPr>
          <w:rFonts w:hint="eastAsia" w:cs="Times New Roman"/>
          <w:color w:val="auto"/>
          <w:kern w:val="0"/>
          <w:sz w:val="24"/>
          <w:szCs w:val="24"/>
          <w:lang w:val="en-US" w:eastAsia="zh-CN" w:bidi="ar"/>
        </w:rPr>
        <w:t>.</w:t>
      </w:r>
      <w:r>
        <w:rPr>
          <w:rFonts w:hint="default" w:ascii="Times New Roman" w:hAnsi="Times New Roman" w:cs="Times New Roman"/>
          <w:color w:val="auto"/>
          <w:kern w:val="0"/>
          <w:sz w:val="24"/>
          <w:szCs w:val="24"/>
          <w:lang w:val="en-US" w:eastAsia="zh-CN" w:bidi="ar"/>
        </w:rPr>
        <w:t>144</w:t>
      </w:r>
      <w:r>
        <w:rPr>
          <w:rFonts w:hint="default" w:ascii="Times New Roman" w:hAnsi="Times New Roman" w:eastAsia="宋体" w:cs="Times New Roman"/>
          <w:color w:val="auto"/>
          <w:kern w:val="0"/>
          <w:sz w:val="24"/>
          <w:szCs w:val="24"/>
          <w:lang w:val="en-US" w:eastAsia="zh-CN" w:bidi="ar"/>
        </w:rPr>
        <w:t>t/a。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粉状原料由封闭式罐车运输，砂石原料在运输过程中保持湿度并加盖苫布；厂区地面进行硬化，铺置水泥路面，定时洒水抑尘。按照《固体物料堆存颗粒物产排污核算系数手册》中洒水对于粉尘的控制效率为74%，则本项目运输车辆扬尘粉尘无组织排放量为0.0</w:t>
      </w:r>
      <w:r>
        <w:rPr>
          <w:rFonts w:hint="default" w:ascii="Times New Roman" w:hAnsi="Times New Roman" w:cs="Times New Roman"/>
          <w:color w:val="auto"/>
          <w:kern w:val="0"/>
          <w:sz w:val="24"/>
          <w:szCs w:val="24"/>
          <w:lang w:val="en-US" w:eastAsia="zh-CN" w:bidi="ar"/>
        </w:rPr>
        <w:t>37</w:t>
      </w:r>
      <w:r>
        <w:rPr>
          <w:rFonts w:hint="default" w:ascii="Times New Roman" w:hAnsi="Times New Roman" w:eastAsia="宋体" w:cs="Times New Roman"/>
          <w:color w:val="auto"/>
          <w:kern w:val="0"/>
          <w:sz w:val="24"/>
          <w:szCs w:val="24"/>
          <w:lang w:val="en-US" w:eastAsia="zh-CN" w:bidi="ar"/>
        </w:rPr>
        <w:t>t/a。</w:t>
      </w:r>
    </w:p>
    <w:p>
      <w:pPr>
        <w:pStyle w:val="130"/>
        <w:keepNext/>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baseline"/>
        <w:outlineLvl w:val="9"/>
        <w:rPr>
          <w:rFonts w:hint="eastAsia" w:ascii="Times New Roman" w:hAnsi="Times New Roman" w:eastAsia="宋体" w:cs="Times New Roman"/>
          <w:b w:val="0"/>
          <w:bCs/>
          <w:color w:val="auto"/>
          <w:kern w:val="2"/>
          <w:sz w:val="24"/>
          <w:szCs w:val="24"/>
          <w:highlight w:val="none"/>
          <w:lang w:val="en-US" w:eastAsia="zh-CN" w:bidi="ar-SA"/>
        </w:rPr>
      </w:pP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6</w:t>
      </w:r>
      <w:r>
        <w:rPr>
          <w:rFonts w:hint="eastAsia" w:cs="Times New Roman"/>
          <w:b w:val="0"/>
          <w:bCs/>
          <w:color w:val="auto"/>
          <w:kern w:val="2"/>
          <w:sz w:val="24"/>
          <w:szCs w:val="24"/>
          <w:highlight w:val="none"/>
          <w:lang w:val="en-US" w:eastAsia="zh-CN" w:bidi="ar-SA"/>
        </w:rPr>
        <w:t>）</w:t>
      </w:r>
      <w:r>
        <w:rPr>
          <w:rFonts w:hint="eastAsia" w:ascii="Times New Roman" w:hAnsi="Times New Roman" w:eastAsia="宋体" w:cs="Times New Roman"/>
          <w:b w:val="0"/>
          <w:bCs/>
          <w:color w:val="auto"/>
          <w:kern w:val="2"/>
          <w:sz w:val="24"/>
          <w:szCs w:val="24"/>
          <w:highlight w:val="none"/>
          <w:lang w:val="en-US" w:eastAsia="zh-CN" w:bidi="ar-SA"/>
        </w:rPr>
        <w:t>搅拌粉尘</w:t>
      </w:r>
    </w:p>
    <w:p>
      <w:pPr>
        <w:spacing w:line="360" w:lineRule="auto"/>
        <w:ind w:firstLine="480" w:firstLineChars="200"/>
        <w:rPr>
          <w:rFonts w:hint="default" w:ascii="Times New Roman" w:hAnsi="Times New Roman" w:eastAsia="宋体" w:cs="Times New Roman"/>
          <w:b w:val="0"/>
          <w:bCs/>
          <w:color w:val="auto"/>
          <w:kern w:val="2"/>
          <w:sz w:val="24"/>
          <w:szCs w:val="24"/>
          <w:highlight w:val="yellow"/>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搅拌粉尘根据《排放源统计调查产排污核算方法和系数手册》（公告2021年第24号）中“3021水泥制品制造业（含3022砼结构构件、3029其他水泥类似制品制造）行业产排污系数表”可知混凝土制品在物料混合搅拌工序颗粒物的产污系数为0.13千克/吨-产品。该项目产品量为</w:t>
      </w:r>
      <w:r>
        <w:rPr>
          <w:rFonts w:hint="default" w:ascii="Times New Roman" w:hAnsi="Times New Roman" w:cs="Times New Roman"/>
          <w:b w:val="0"/>
          <w:bCs/>
          <w:color w:val="auto"/>
          <w:kern w:val="2"/>
          <w:sz w:val="24"/>
          <w:szCs w:val="24"/>
          <w:highlight w:val="none"/>
          <w:lang w:val="en-US" w:eastAsia="zh-CN" w:bidi="ar-SA"/>
        </w:rPr>
        <w:t>4</w:t>
      </w:r>
      <w:r>
        <w:rPr>
          <w:rFonts w:hint="default" w:ascii="Times New Roman" w:hAnsi="Times New Roman" w:eastAsia="宋体" w:cs="Times New Roman"/>
          <w:b w:val="0"/>
          <w:bCs/>
          <w:color w:val="auto"/>
          <w:kern w:val="2"/>
          <w:sz w:val="24"/>
          <w:szCs w:val="24"/>
          <w:highlight w:val="none"/>
          <w:lang w:val="en-US" w:eastAsia="zh-CN" w:bidi="ar-SA"/>
        </w:rPr>
        <w:t>万m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/a，合计</w:t>
      </w:r>
      <w:r>
        <w:rPr>
          <w:rFonts w:hint="default" w:ascii="Times New Roman" w:hAnsi="Times New Roman" w:cs="Times New Roman"/>
          <w:b w:val="0"/>
          <w:bCs/>
          <w:color w:val="auto"/>
          <w:kern w:val="2"/>
          <w:sz w:val="24"/>
          <w:szCs w:val="24"/>
          <w:highlight w:val="none"/>
          <w:lang w:val="en-US" w:eastAsia="zh-CN" w:bidi="ar-SA"/>
        </w:rPr>
        <w:t>10</w:t>
      </w:r>
      <w:r>
        <w:rPr>
          <w:rFonts w:hint="default" w:ascii="Times New Roman" w:hAnsi="Times New Roman" w:eastAsia="宋体" w:cs="Times New Roman"/>
          <w:b w:val="0"/>
          <w:bCs/>
          <w:color w:val="auto"/>
          <w:kern w:val="2"/>
          <w:sz w:val="24"/>
          <w:szCs w:val="24"/>
          <w:highlight w:val="none"/>
          <w:lang w:val="en-US" w:eastAsia="zh-CN" w:bidi="ar-SA"/>
        </w:rPr>
        <w:t>万t/a，（密度按2.</w:t>
      </w:r>
      <w:r>
        <w:rPr>
          <w:rFonts w:hint="default" w:ascii="Times New Roman" w:hAnsi="Times New Roman"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t/m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计算），则通过产污系数可算出搅拌产生颗粒物量为</w:t>
      </w:r>
      <w:r>
        <w:rPr>
          <w:rFonts w:hint="default" w:ascii="Times New Roman" w:hAnsi="Times New Roman" w:cs="Times New Roman"/>
          <w:b w:val="0"/>
          <w:bCs/>
          <w:color w:val="auto"/>
          <w:kern w:val="2"/>
          <w:sz w:val="24"/>
          <w:szCs w:val="24"/>
          <w:highlight w:val="none"/>
          <w:lang w:val="en-US" w:eastAsia="zh-CN" w:bidi="ar-SA"/>
        </w:rPr>
        <w:t>13</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w:t>
      </w:r>
      <w:r>
        <w:rPr>
          <w:rFonts w:hint="default" w:ascii="Times New Roman" w:hAnsi="Times New Roman" w:eastAsia="宋体" w:cs="Times New Roman"/>
          <w:b w:val="0"/>
          <w:bCs/>
          <w:color w:val="auto"/>
          <w:kern w:val="2"/>
          <w:sz w:val="24"/>
          <w:szCs w:val="24"/>
          <w:highlight w:val="none"/>
          <w:lang w:val="en-US" w:eastAsia="zh-CN" w:bidi="ar-SA"/>
        </w:rPr>
        <w:t>t/a，产生速率为</w:t>
      </w:r>
      <w:r>
        <w:rPr>
          <w:rFonts w:hint="default" w:ascii="Times New Roman" w:hAnsi="Times New Roman" w:cs="Times New Roman"/>
          <w:b w:val="0"/>
          <w:bCs/>
          <w:color w:val="auto"/>
          <w:kern w:val="2"/>
          <w:sz w:val="24"/>
          <w:szCs w:val="24"/>
          <w:highlight w:val="none"/>
          <w:lang w:val="en-US" w:eastAsia="zh-CN" w:bidi="ar-SA"/>
        </w:rPr>
        <w:t>2</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26</w:t>
      </w:r>
      <w:r>
        <w:rPr>
          <w:rFonts w:hint="default" w:ascii="Times New Roman" w:hAnsi="Times New Roman" w:eastAsia="宋体" w:cs="Times New Roman"/>
          <w:b w:val="0"/>
          <w:bCs/>
          <w:color w:val="auto"/>
          <w:kern w:val="2"/>
          <w:sz w:val="24"/>
          <w:szCs w:val="24"/>
          <w:highlight w:val="none"/>
          <w:lang w:val="en-US" w:eastAsia="zh-CN" w:bidi="ar-SA"/>
        </w:rPr>
        <w:t>kg/h，产生浓度</w:t>
      </w:r>
      <w:r>
        <w:rPr>
          <w:rFonts w:hint="default" w:ascii="Times New Roman" w:hAnsi="Times New Roman" w:cs="Times New Roman"/>
          <w:b w:val="0"/>
          <w:bCs/>
          <w:color w:val="auto"/>
          <w:kern w:val="2"/>
          <w:sz w:val="24"/>
          <w:szCs w:val="24"/>
          <w:highlight w:val="none"/>
          <w:lang w:val="en-US" w:eastAsia="zh-CN" w:bidi="ar-SA"/>
        </w:rPr>
        <w:t>282</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12</w:t>
      </w:r>
      <w:r>
        <w:rPr>
          <w:rFonts w:hint="default" w:ascii="Times New Roman" w:hAnsi="Times New Roman" w:eastAsia="宋体" w:cs="Times New Roman"/>
          <w:b w:val="0"/>
          <w:bCs/>
          <w:color w:val="auto"/>
          <w:kern w:val="2"/>
          <w:sz w:val="24"/>
          <w:szCs w:val="24"/>
          <w:highlight w:val="none"/>
          <w:lang w:val="en-US" w:eastAsia="zh-CN" w:bidi="ar-SA"/>
        </w:rPr>
        <w:t>mg/m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（年运行2</w:t>
      </w:r>
      <w:r>
        <w:rPr>
          <w:rFonts w:hint="default" w:ascii="Times New Roman" w:hAnsi="Times New Roman" w:cs="Times New Roman"/>
          <w:b w:val="0"/>
          <w:bCs/>
          <w:color w:val="auto"/>
          <w:kern w:val="2"/>
          <w:sz w:val="24"/>
          <w:szCs w:val="24"/>
          <w:highlight w:val="none"/>
          <w:lang w:val="en-US" w:eastAsia="zh-CN" w:bidi="ar-SA"/>
        </w:rPr>
        <w:t>4</w:t>
      </w:r>
      <w:r>
        <w:rPr>
          <w:rFonts w:hint="default" w:ascii="Times New Roman" w:hAnsi="Times New Roman" w:eastAsia="宋体" w:cs="Times New Roman"/>
          <w:b w:val="0"/>
          <w:bCs/>
          <w:color w:val="auto"/>
          <w:kern w:val="2"/>
          <w:sz w:val="24"/>
          <w:szCs w:val="24"/>
          <w:highlight w:val="none"/>
          <w:lang w:val="en-US" w:eastAsia="zh-CN" w:bidi="ar-SA"/>
        </w:rPr>
        <w:t>0天，</w:t>
      </w:r>
      <w:r>
        <w:rPr>
          <w:rFonts w:hint="eastAsia" w:cs="Times New Roman"/>
          <w:b w:val="0"/>
          <w:bCs/>
          <w:color w:val="auto"/>
          <w:kern w:val="2"/>
          <w:sz w:val="24"/>
          <w:szCs w:val="24"/>
          <w:highlight w:val="none"/>
          <w:lang w:val="en-US" w:eastAsia="zh-CN" w:bidi="ar-SA"/>
        </w:rPr>
        <w:t>双</w:t>
      </w:r>
      <w:r>
        <w:rPr>
          <w:rFonts w:hint="default" w:ascii="Times New Roman" w:hAnsi="Times New Roman" w:eastAsia="宋体" w:cs="Times New Roman"/>
          <w:b w:val="0"/>
          <w:bCs/>
          <w:color w:val="auto"/>
          <w:kern w:val="2"/>
          <w:sz w:val="24"/>
          <w:szCs w:val="24"/>
          <w:highlight w:val="none"/>
          <w:lang w:val="en-US" w:eastAsia="zh-CN" w:bidi="ar-SA"/>
        </w:rPr>
        <w:t>班制，每班</w:t>
      </w:r>
      <w:r>
        <w:rPr>
          <w:rFonts w:hint="default" w:ascii="Times New Roman" w:hAnsi="Times New Roman" w:cs="Times New Roman"/>
          <w:b w:val="0"/>
          <w:bCs/>
          <w:color w:val="auto"/>
          <w:kern w:val="2"/>
          <w:sz w:val="24"/>
          <w:szCs w:val="24"/>
          <w:highlight w:val="none"/>
          <w:lang w:val="en-US" w:eastAsia="zh-CN" w:bidi="ar-SA"/>
        </w:rPr>
        <w:t>12</w:t>
      </w:r>
      <w:r>
        <w:rPr>
          <w:rFonts w:hint="default" w:ascii="Times New Roman" w:hAnsi="Times New Roman" w:eastAsia="宋体" w:cs="Times New Roman"/>
          <w:b w:val="0"/>
          <w:bCs/>
          <w:color w:val="auto"/>
          <w:kern w:val="2"/>
          <w:sz w:val="24"/>
          <w:szCs w:val="24"/>
          <w:highlight w:val="none"/>
          <w:lang w:val="en-US" w:eastAsia="zh-CN" w:bidi="ar-SA"/>
        </w:rPr>
        <w:t>h），本项目拟在搅拌机通气口设置1套布袋除尘器（除尘效率99.</w:t>
      </w:r>
      <w:r>
        <w:rPr>
          <w:rFonts w:hint="default" w:ascii="Times New Roman" w:hAnsi="Times New Roman" w:cs="Times New Roman"/>
          <w:b w:val="0"/>
          <w:bCs/>
          <w:color w:val="auto"/>
          <w:kern w:val="2"/>
          <w:sz w:val="24"/>
          <w:szCs w:val="24"/>
          <w:highlight w:val="none"/>
          <w:lang w:val="en-US" w:eastAsia="zh-CN" w:bidi="ar-SA"/>
        </w:rPr>
        <w:t>5</w:t>
      </w:r>
      <w:r>
        <w:rPr>
          <w:rFonts w:hint="default" w:ascii="Times New Roman" w:hAnsi="Times New Roman" w:eastAsia="宋体" w:cs="Times New Roman"/>
          <w:b w:val="0"/>
          <w:bCs/>
          <w:color w:val="auto"/>
          <w:kern w:val="2"/>
          <w:sz w:val="24"/>
          <w:szCs w:val="24"/>
          <w:highlight w:val="none"/>
          <w:lang w:val="en-US" w:eastAsia="zh-CN" w:bidi="ar-SA"/>
        </w:rPr>
        <w:t>%，风量为</w:t>
      </w:r>
      <w:r>
        <w:rPr>
          <w:rFonts w:hint="default" w:ascii="Times New Roman" w:hAnsi="Times New Roman" w:cs="Times New Roman"/>
          <w:b w:val="0"/>
          <w:bCs/>
          <w:color w:val="auto"/>
          <w:kern w:val="2"/>
          <w:sz w:val="24"/>
          <w:szCs w:val="24"/>
          <w:highlight w:val="none"/>
          <w:lang w:val="en-US" w:eastAsia="zh-CN" w:bidi="ar-SA"/>
        </w:rPr>
        <w:t>8</w:t>
      </w:r>
      <w:r>
        <w:rPr>
          <w:rFonts w:hint="default" w:ascii="Times New Roman" w:hAnsi="Times New Roman" w:eastAsia="宋体" w:cs="Times New Roman"/>
          <w:b w:val="0"/>
          <w:bCs/>
          <w:color w:val="auto"/>
          <w:kern w:val="2"/>
          <w:sz w:val="24"/>
          <w:szCs w:val="24"/>
          <w:highlight w:val="none"/>
          <w:lang w:val="en-US" w:eastAsia="zh-CN" w:bidi="ar-SA"/>
        </w:rPr>
        <w:t>000m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/h，年工作</w:t>
      </w:r>
      <w:r>
        <w:rPr>
          <w:rFonts w:hint="default" w:ascii="Times New Roman" w:hAnsi="Times New Roman" w:cs="Times New Roman"/>
          <w:b w:val="0"/>
          <w:bCs/>
          <w:color w:val="auto"/>
          <w:kern w:val="2"/>
          <w:sz w:val="24"/>
          <w:szCs w:val="24"/>
          <w:highlight w:val="none"/>
          <w:lang w:val="en-US" w:eastAsia="zh-CN" w:bidi="ar-SA"/>
        </w:rPr>
        <w:t>576</w:t>
      </w:r>
      <w:r>
        <w:rPr>
          <w:rFonts w:hint="default" w:ascii="Times New Roman" w:hAnsi="Times New Roman" w:eastAsia="宋体" w:cs="Times New Roman"/>
          <w:b w:val="0"/>
          <w:bCs/>
          <w:color w:val="auto"/>
          <w:kern w:val="2"/>
          <w:sz w:val="24"/>
          <w:szCs w:val="24"/>
          <w:highlight w:val="none"/>
          <w:lang w:val="en-US" w:eastAsia="zh-CN" w:bidi="ar-SA"/>
        </w:rPr>
        <w:t>0h），处理后</w:t>
      </w:r>
      <w:r>
        <w:rPr>
          <w:rFonts w:hint="eastAsia" w:cs="Times New Roman"/>
          <w:b w:val="0"/>
          <w:bCs/>
          <w:color w:val="auto"/>
          <w:kern w:val="2"/>
          <w:sz w:val="24"/>
          <w:szCs w:val="24"/>
          <w:highlight w:val="none"/>
          <w:lang w:val="en-US" w:eastAsia="zh-CN" w:bidi="ar-SA"/>
        </w:rPr>
        <w:t>无组织</w:t>
      </w:r>
      <w:r>
        <w:rPr>
          <w:rFonts w:hint="default" w:ascii="Times New Roman" w:hAnsi="Times New Roman" w:eastAsia="宋体" w:cs="Times New Roman"/>
          <w:b w:val="0"/>
          <w:bCs/>
          <w:color w:val="auto"/>
          <w:kern w:val="2"/>
          <w:sz w:val="24"/>
          <w:szCs w:val="24"/>
          <w:highlight w:val="none"/>
          <w:lang w:val="en-US" w:eastAsia="zh-CN" w:bidi="ar-SA"/>
        </w:rPr>
        <w:t>排放，经计算搅拌过程粉尘排放量为0.</w:t>
      </w:r>
      <w:r>
        <w:rPr>
          <w:rFonts w:hint="default" w:ascii="Times New Roman" w:hAnsi="Times New Roman" w:cs="Times New Roman"/>
          <w:b w:val="0"/>
          <w:bCs/>
          <w:color w:val="auto"/>
          <w:kern w:val="2"/>
          <w:sz w:val="24"/>
          <w:szCs w:val="24"/>
          <w:highlight w:val="none"/>
          <w:lang w:val="en-US" w:eastAsia="zh-CN" w:bidi="ar-SA"/>
        </w:rPr>
        <w:t>065</w:t>
      </w:r>
      <w:r>
        <w:rPr>
          <w:rFonts w:hint="default" w:ascii="Times New Roman" w:hAnsi="Times New Roman" w:eastAsia="宋体" w:cs="Times New Roman"/>
          <w:b w:val="0"/>
          <w:bCs/>
          <w:color w:val="auto"/>
          <w:kern w:val="2"/>
          <w:sz w:val="24"/>
          <w:szCs w:val="24"/>
          <w:highlight w:val="none"/>
          <w:lang w:val="en-US" w:eastAsia="zh-CN" w:bidi="ar-SA"/>
        </w:rPr>
        <w:t>t/a，排放速率为</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011</w:t>
      </w:r>
      <w:r>
        <w:rPr>
          <w:rFonts w:hint="default" w:ascii="Times New Roman" w:hAnsi="Times New Roman" w:eastAsia="宋体" w:cs="Times New Roman"/>
          <w:b w:val="0"/>
          <w:bCs/>
          <w:color w:val="auto"/>
          <w:kern w:val="2"/>
          <w:sz w:val="24"/>
          <w:szCs w:val="24"/>
          <w:highlight w:val="none"/>
          <w:lang w:val="en-US" w:eastAsia="zh-CN" w:bidi="ar-SA"/>
        </w:rPr>
        <w:t>kg/h，排放浓度为</w:t>
      </w:r>
      <w:r>
        <w:rPr>
          <w:rFonts w:hint="default" w:ascii="Times New Roman" w:hAnsi="Times New Roman" w:cs="Times New Roman"/>
          <w:b w:val="0"/>
          <w:bCs/>
          <w:color w:val="auto"/>
          <w:kern w:val="2"/>
          <w:sz w:val="24"/>
          <w:szCs w:val="24"/>
          <w:highlight w:val="none"/>
          <w:lang w:val="en-US" w:eastAsia="zh-CN" w:bidi="ar-SA"/>
        </w:rPr>
        <w:t>1</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41</w:t>
      </w:r>
      <w:r>
        <w:rPr>
          <w:rFonts w:hint="default" w:ascii="Times New Roman" w:hAnsi="Times New Roman" w:eastAsia="宋体" w:cs="Times New Roman"/>
          <w:b w:val="0"/>
          <w:bCs/>
          <w:color w:val="auto"/>
          <w:kern w:val="2"/>
          <w:sz w:val="24"/>
          <w:szCs w:val="24"/>
          <w:highlight w:val="none"/>
          <w:lang w:val="en-US" w:eastAsia="zh-CN" w:bidi="ar-SA"/>
        </w:rPr>
        <w:t>mg/m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合计颗粒物排放量=</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007</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0024</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1</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51</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163</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06</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037</w:t>
      </w:r>
      <w:r>
        <w:rPr>
          <w:rFonts w:hint="default"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1</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78</w:t>
      </w:r>
      <w:r>
        <w:rPr>
          <w:rFonts w:hint="default" w:ascii="Times New Roman" w:hAnsi="Times New Roman" w:eastAsia="宋体" w:cs="Times New Roman"/>
          <w:b w:val="0"/>
          <w:bCs/>
          <w:color w:val="auto"/>
          <w:kern w:val="2"/>
          <w:sz w:val="24"/>
          <w:szCs w:val="24"/>
          <w:highlight w:val="none"/>
          <w:lang w:val="en-US" w:eastAsia="zh-CN" w:bidi="ar-SA"/>
        </w:rPr>
        <w:t>t</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a</w:t>
      </w:r>
      <w:r>
        <w:rPr>
          <w:rFonts w:hint="eastAsia" w:ascii="Times New Roman" w:hAnsi="Times New Roman" w:eastAsia="宋体" w:cs="Times New Roman"/>
          <w:b w:val="0"/>
          <w:bCs/>
          <w:color w:val="auto"/>
          <w:kern w:val="2"/>
          <w:sz w:val="24"/>
          <w:szCs w:val="24"/>
          <w:highlight w:val="none"/>
          <w:lang w:val="en-US" w:eastAsia="zh-CN" w:bidi="ar-SA"/>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eastAsia="zh-CN"/>
        </w:rPr>
        <w:t>核定总量结果</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color w:val="auto"/>
          <w:highlight w:val="none"/>
          <w:lang w:val="en-US" w:eastAsia="zh-CN"/>
        </w:rPr>
      </w:pPr>
      <w:r>
        <w:rPr>
          <w:color w:val="auto"/>
          <w:sz w:val="24"/>
          <w:highlight w:val="none"/>
        </w:rPr>
        <w:t>综上所述，本项目总量</w:t>
      </w:r>
      <w:r>
        <w:rPr>
          <w:rFonts w:hint="eastAsia"/>
          <w:color w:val="auto"/>
          <w:sz w:val="24"/>
          <w:highlight w:val="none"/>
        </w:rPr>
        <w:t>控制情况如下表所示。</w:t>
      </w:r>
      <w:r>
        <w:rPr>
          <w:rFonts w:hint="eastAsia"/>
          <w:color w:val="auto"/>
          <w:highlight w:val="none"/>
          <w:lang w:val="en-US" w:eastAsia="zh-CN"/>
        </w:rPr>
        <w:t xml:space="preserve">                             </w:t>
      </w:r>
    </w:p>
    <w:p>
      <w:pPr>
        <w:pStyle w:val="181"/>
        <w:spacing w:line="400" w:lineRule="exact"/>
        <w:ind w:firstLine="0"/>
        <w:jc w:val="center"/>
        <w:rPr>
          <w:color w:val="auto"/>
          <w:highlight w:val="none"/>
          <w:lang w:val="en-US" w:eastAsia="zh-CN"/>
        </w:rPr>
      </w:pPr>
      <w:r>
        <w:rPr>
          <w:rFonts w:hint="eastAsia"/>
          <w:color w:val="auto"/>
          <w:sz w:val="24"/>
          <w:szCs w:val="24"/>
          <w:highlight w:val="none"/>
          <w:lang w:val="en-US" w:eastAsia="zh-CN"/>
        </w:rPr>
        <w:t>表</w:t>
      </w:r>
      <w:r>
        <w:rPr>
          <w:rFonts w:hint="default" w:ascii="Times New Roman" w:hAnsi="Times New Roman" w:cs="Times New Roman"/>
          <w:color w:val="auto"/>
          <w:sz w:val="24"/>
          <w:szCs w:val="24"/>
          <w:highlight w:val="none"/>
          <w:lang w:val="en-US" w:eastAsia="zh-CN"/>
        </w:rPr>
        <w:t>1</w:t>
      </w:r>
      <w:r>
        <w:rPr>
          <w:rFonts w:hint="eastAsia"/>
          <w:color w:val="auto"/>
          <w:sz w:val="24"/>
          <w:szCs w:val="24"/>
          <w:highlight w:val="none"/>
          <w:lang w:val="en-US" w:eastAsia="zh-CN"/>
        </w:rPr>
        <w:t xml:space="preserve"> </w:t>
      </w:r>
      <w:r>
        <w:rPr>
          <w:color w:val="auto"/>
          <w:sz w:val="24"/>
          <w:szCs w:val="24"/>
          <w:highlight w:val="none"/>
          <w:lang w:val="en-US" w:eastAsia="zh-CN"/>
        </w:rPr>
        <w:t>总量控制</w:t>
      </w:r>
      <w:r>
        <w:rPr>
          <w:rFonts w:hint="eastAsia"/>
          <w:color w:val="auto"/>
          <w:sz w:val="24"/>
          <w:szCs w:val="24"/>
          <w:highlight w:val="none"/>
          <w:lang w:val="en-US" w:eastAsia="zh-CN"/>
        </w:rPr>
        <w:t>一览</w:t>
      </w:r>
      <w:r>
        <w:rPr>
          <w:color w:val="auto"/>
          <w:sz w:val="24"/>
          <w:szCs w:val="24"/>
          <w:highlight w:val="none"/>
          <w:lang w:val="en-US" w:eastAsia="zh-CN"/>
        </w:rPr>
        <w:t>表</w:t>
      </w:r>
      <w:r>
        <w:rPr>
          <w:color w:val="auto"/>
          <w:highlight w:val="none"/>
          <w:lang w:val="en-US" w:eastAsia="zh-CN"/>
        </w:rPr>
        <w:t xml:space="preserve"> </w:t>
      </w:r>
      <w:r>
        <w:rPr>
          <w:rFonts w:hint="eastAsia"/>
          <w:color w:val="auto"/>
          <w:highlight w:val="none"/>
          <w:lang w:val="en-US" w:eastAsia="zh-CN"/>
        </w:rPr>
        <w:t xml:space="preserve">           </w:t>
      </w:r>
      <w:r>
        <w:rPr>
          <w:color w:val="auto"/>
          <w:highlight w:val="none"/>
          <w:lang w:val="en-US" w:eastAsia="zh-CN"/>
        </w:rPr>
        <w:t xml:space="preserve">   </w:t>
      </w:r>
      <w:r>
        <w:rPr>
          <w:b w:val="0"/>
          <w:bCs/>
          <w:color w:val="auto"/>
          <w:sz w:val="21"/>
          <w:szCs w:val="21"/>
          <w:highlight w:val="none"/>
          <w:lang w:val="en-US" w:eastAsia="zh-CN"/>
        </w:rPr>
        <w:t>单位：</w:t>
      </w:r>
      <w:r>
        <w:rPr>
          <w:rFonts w:hint="default" w:ascii="Times New Roman" w:hAnsi="Times New Roman" w:cs="Times New Roman"/>
          <w:b w:val="0"/>
          <w:bCs/>
          <w:color w:val="auto"/>
          <w:sz w:val="21"/>
          <w:szCs w:val="21"/>
          <w:highlight w:val="none"/>
          <w:lang w:val="en-US" w:eastAsia="zh-CN"/>
        </w:rPr>
        <w:t>t</w:t>
      </w:r>
      <w:r>
        <w:rPr>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a</w:t>
      </w:r>
    </w:p>
    <w:tbl>
      <w:tblPr>
        <w:tblStyle w:val="32"/>
        <w:tblW w:w="891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1949"/>
        <w:gridCol w:w="2682"/>
        <w:gridCol w:w="23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1953" w:type="dxa"/>
            <w:noWrap w:val="0"/>
            <w:vAlign w:val="center"/>
          </w:tcPr>
          <w:p>
            <w:pPr>
              <w:pStyle w:val="182"/>
              <w:rPr>
                <w:rFonts w:hint="eastAsia"/>
                <w:color w:val="auto"/>
                <w:szCs w:val="24"/>
                <w:highlight w:val="none"/>
              </w:rPr>
            </w:pPr>
            <w:r>
              <w:rPr>
                <w:rFonts w:hint="eastAsia"/>
                <w:color w:val="auto"/>
                <w:szCs w:val="24"/>
                <w:highlight w:val="none"/>
              </w:rPr>
              <w:t>污染物控制类别</w:t>
            </w:r>
          </w:p>
        </w:tc>
        <w:tc>
          <w:tcPr>
            <w:tcW w:w="1949" w:type="dxa"/>
            <w:noWrap w:val="0"/>
            <w:vAlign w:val="center"/>
          </w:tcPr>
          <w:p>
            <w:pPr>
              <w:pStyle w:val="182"/>
              <w:rPr>
                <w:rFonts w:hint="eastAsia"/>
                <w:color w:val="auto"/>
                <w:szCs w:val="24"/>
                <w:highlight w:val="none"/>
              </w:rPr>
            </w:pPr>
            <w:r>
              <w:rPr>
                <w:rFonts w:hint="eastAsia"/>
                <w:color w:val="auto"/>
                <w:szCs w:val="24"/>
                <w:highlight w:val="none"/>
              </w:rPr>
              <w:t>污染物名称</w:t>
            </w:r>
          </w:p>
        </w:tc>
        <w:tc>
          <w:tcPr>
            <w:tcW w:w="2682" w:type="dxa"/>
            <w:noWrap w:val="0"/>
            <w:vAlign w:val="center"/>
          </w:tcPr>
          <w:p>
            <w:pPr>
              <w:pStyle w:val="182"/>
              <w:rPr>
                <w:rFonts w:hint="eastAsia"/>
                <w:color w:val="auto"/>
                <w:szCs w:val="24"/>
                <w:highlight w:val="none"/>
              </w:rPr>
            </w:pPr>
            <w:r>
              <w:rPr>
                <w:rFonts w:hint="eastAsia"/>
                <w:color w:val="auto"/>
                <w:szCs w:val="24"/>
                <w:highlight w:val="none"/>
              </w:rPr>
              <w:t>预测排放量</w:t>
            </w:r>
          </w:p>
        </w:tc>
        <w:tc>
          <w:tcPr>
            <w:tcW w:w="2334" w:type="dxa"/>
            <w:noWrap w:val="0"/>
            <w:vAlign w:val="center"/>
          </w:tcPr>
          <w:p>
            <w:pPr>
              <w:pStyle w:val="182"/>
              <w:rPr>
                <w:rFonts w:hint="eastAsia"/>
                <w:color w:val="auto"/>
                <w:szCs w:val="24"/>
                <w:highlight w:val="none"/>
              </w:rPr>
            </w:pPr>
            <w:r>
              <w:rPr>
                <w:rFonts w:hint="eastAsia"/>
                <w:color w:val="auto"/>
                <w:szCs w:val="24"/>
                <w:highlight w:val="none"/>
              </w:rPr>
              <w:t>核定排放量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1953" w:type="dxa"/>
            <w:shd w:val="clear" w:color="auto" w:fill="auto"/>
            <w:noWrap w:val="0"/>
            <w:vAlign w:val="center"/>
          </w:tcPr>
          <w:p>
            <w:pPr>
              <w:pStyle w:val="109"/>
              <w:keepNext w:val="0"/>
              <w:keepLines w:val="0"/>
              <w:pageBreakBefore w:val="0"/>
              <w:kinsoku/>
              <w:wordWrap/>
              <w:overflowPunct/>
              <w:topLinePunct w:val="0"/>
              <w:autoSpaceDE/>
              <w:autoSpaceDN/>
              <w:bidi w:val="0"/>
              <w:adjustRightInd w:val="0"/>
              <w:snapToGrid w:val="0"/>
              <w:spacing w:before="0" w:after="0" w:line="360" w:lineRule="exact"/>
              <w:ind w:right="0" w:rightChars="0" w:firstLine="0" w:firstLineChars="0"/>
              <w:textAlignment w:val="baseline"/>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废气</w:t>
            </w:r>
          </w:p>
        </w:tc>
        <w:tc>
          <w:tcPr>
            <w:tcW w:w="1949" w:type="dxa"/>
            <w:shd w:val="clear" w:color="auto" w:fill="auto"/>
            <w:noWrap w:val="0"/>
            <w:vAlign w:val="center"/>
          </w:tcPr>
          <w:p>
            <w:pPr>
              <w:pStyle w:val="109"/>
              <w:keepNext w:val="0"/>
              <w:keepLines w:val="0"/>
              <w:pageBreakBefore w:val="0"/>
              <w:kinsoku/>
              <w:wordWrap/>
              <w:overflowPunct/>
              <w:topLinePunct w:val="0"/>
              <w:autoSpaceDE/>
              <w:autoSpaceDN/>
              <w:bidi w:val="0"/>
              <w:adjustRightInd w:val="0"/>
              <w:snapToGrid w:val="0"/>
              <w:spacing w:before="0" w:after="0" w:line="360" w:lineRule="exact"/>
              <w:ind w:right="0" w:rightChars="0" w:firstLine="0" w:firstLineChars="0"/>
              <w:textAlignment w:val="baseline"/>
              <w:rPr>
                <w:rFonts w:hint="eastAsia" w:ascii="Times New Roman" w:hAnsi="Times New Roman" w:eastAsia="宋体" w:cs="Times New Roman"/>
                <w:b w:val="0"/>
                <w:bCs/>
                <w:color w:val="auto"/>
                <w:kern w:val="0"/>
                <w:sz w:val="24"/>
                <w:szCs w:val="24"/>
                <w:highlight w:val="none"/>
                <w:lang w:val="en-US" w:eastAsia="zh-CN" w:bidi="ar-SA"/>
              </w:rPr>
            </w:pPr>
            <w:r>
              <w:rPr>
                <w:rFonts w:hint="eastAsia"/>
                <w:b w:val="0"/>
                <w:bCs/>
                <w:color w:val="auto"/>
                <w:sz w:val="24"/>
                <w:szCs w:val="24"/>
                <w:highlight w:val="none"/>
                <w:lang w:val="en-US" w:eastAsia="zh-CN"/>
              </w:rPr>
              <w:t>颗粒物</w:t>
            </w:r>
          </w:p>
        </w:tc>
        <w:tc>
          <w:tcPr>
            <w:tcW w:w="2682" w:type="dxa"/>
            <w:shd w:val="clear" w:color="auto" w:fill="auto"/>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0" w:after="0" w:line="360" w:lineRule="exact"/>
              <w:ind w:right="0" w:rightChars="0" w:firstLine="0" w:firstLineChars="0"/>
              <w:jc w:val="center"/>
              <w:textAlignment w:val="baseline"/>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cs="Times New Roman"/>
                <w:b w:val="0"/>
                <w:bCs/>
                <w:color w:val="auto"/>
                <w:sz w:val="24"/>
                <w:szCs w:val="24"/>
                <w:highlight w:val="none"/>
                <w:lang w:val="en-US" w:eastAsia="zh-CN"/>
              </w:rPr>
              <w:t>1</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78</w:t>
            </w:r>
          </w:p>
        </w:tc>
        <w:tc>
          <w:tcPr>
            <w:tcW w:w="2334" w:type="dxa"/>
            <w:shd w:val="clear" w:color="auto" w:fill="auto"/>
            <w:noWrap w:val="0"/>
            <w:vAlign w:val="center"/>
          </w:tcPr>
          <w:p>
            <w:pPr>
              <w:pStyle w:val="109"/>
              <w:keepNext w:val="0"/>
              <w:keepLines w:val="0"/>
              <w:pageBreakBefore w:val="0"/>
              <w:kinsoku/>
              <w:wordWrap/>
              <w:overflowPunct/>
              <w:topLinePunct w:val="0"/>
              <w:autoSpaceDE/>
              <w:autoSpaceDN/>
              <w:bidi w:val="0"/>
              <w:adjustRightInd w:val="0"/>
              <w:snapToGrid w:val="0"/>
              <w:spacing w:before="0" w:after="0" w:line="360" w:lineRule="exact"/>
              <w:ind w:right="0" w:rightChars="0" w:firstLine="0" w:firstLineChars="0"/>
              <w:textAlignment w:val="baseline"/>
              <w:rPr>
                <w:rFonts w:hint="default" w:ascii="Times New Roman" w:hAnsi="Times New Roman" w:eastAsia="宋体" w:cs="Times New Roman"/>
                <w:b w:val="0"/>
                <w:bCs/>
                <w:color w:val="auto"/>
                <w:kern w:val="0"/>
                <w:sz w:val="24"/>
                <w:szCs w:val="24"/>
                <w:highlight w:val="yellow"/>
                <w:lang w:val="en-US" w:eastAsia="zh-CN" w:bidi="ar-SA"/>
              </w:rPr>
            </w:pPr>
            <w:r>
              <w:rPr>
                <w:rFonts w:hint="default" w:ascii="Times New Roman" w:hAnsi="Times New Roman" w:cs="Times New Roman"/>
                <w:b w:val="0"/>
                <w:bCs/>
                <w:color w:val="auto"/>
                <w:sz w:val="24"/>
                <w:highlight w:val="none"/>
                <w:lang w:val="en-US" w:eastAsia="zh-CN"/>
              </w:rPr>
              <w:t>1</w:t>
            </w:r>
            <w:r>
              <w:rPr>
                <w:rFonts w:hint="eastAsia"/>
                <w:b w:val="0"/>
                <w:bCs/>
                <w:color w:val="auto"/>
                <w:sz w:val="24"/>
                <w:highlight w:val="none"/>
                <w:lang w:val="en-US" w:eastAsia="zh-CN"/>
              </w:rPr>
              <w:t>.</w:t>
            </w:r>
            <w:r>
              <w:rPr>
                <w:rFonts w:hint="default" w:ascii="Times New Roman" w:hAnsi="Times New Roman" w:cs="Times New Roman"/>
                <w:b w:val="0"/>
                <w:bCs/>
                <w:color w:val="auto"/>
                <w:sz w:val="24"/>
                <w:highlight w:val="none"/>
                <w:lang w:val="en-US" w:eastAsia="zh-CN"/>
              </w:rPr>
              <w:t>78</w:t>
            </w:r>
          </w:p>
        </w:tc>
      </w:tr>
    </w:tbl>
    <w:p>
      <w:pPr>
        <w:numPr>
          <w:ilvl w:val="0"/>
          <w:numId w:val="0"/>
        </w:numPr>
        <w:spacing w:line="240" w:lineRule="auto"/>
        <w:jc w:val="center"/>
        <w:rPr>
          <w:rFonts w:hint="eastAsia" w:ascii="Times New Roman" w:hAnsi="Times New Roman" w:eastAsia="宋体" w:cs="Times New Roman"/>
          <w:b/>
          <w:color w:val="auto"/>
          <w:sz w:val="24"/>
          <w:szCs w:val="24"/>
          <w:highlight w:val="none"/>
          <w:lang w:eastAsia="zh-CN"/>
        </w:rPr>
      </w:pPr>
    </w:p>
    <w:p>
      <w:pPr>
        <w:rPr>
          <w:rFonts w:hint="default"/>
          <w:color w:val="auto"/>
          <w:highlight w:val="none"/>
          <w:lang w:val="en-US" w:eastAsia="zh-CN"/>
        </w:rPr>
      </w:pPr>
    </w:p>
    <w:p>
      <w:pPr>
        <w:pStyle w:val="30"/>
        <w:rPr>
          <w:rFonts w:hint="default"/>
          <w:color w:val="auto"/>
          <w:highlight w:val="none"/>
          <w:lang w:val="en-US" w:eastAsia="zh-CN"/>
        </w:rPr>
      </w:pPr>
    </w:p>
    <w:p>
      <w:pPr>
        <w:rPr>
          <w:rFonts w:hint="default"/>
          <w:color w:val="auto"/>
          <w:highlight w:val="none"/>
          <w:lang w:val="en-US" w:eastAsia="zh-CN"/>
        </w:rPr>
      </w:pPr>
    </w:p>
    <w:p>
      <w:pPr>
        <w:pStyle w:val="12"/>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88"/>
        <w:keepNext w:val="0"/>
        <w:keepLines w:val="0"/>
        <w:pageBreakBefore w:val="0"/>
        <w:widowControl w:val="0"/>
        <w:kinsoku/>
        <w:wordWrap/>
        <w:overflowPunct/>
        <w:topLinePunct w:val="0"/>
        <w:autoSpaceDE/>
        <w:autoSpaceDN/>
        <w:bidi w:val="0"/>
        <w:adjustRightInd/>
        <w:snapToGrid/>
        <w:textAlignment w:val="auto"/>
        <w:outlineLvl w:val="0"/>
        <w:rPr>
          <w:rFonts w:hint="eastAsia" w:ascii="Times New Roman" w:hAnsi="Times New Roman" w:eastAsia="宋体" w:cs="Times New Roman"/>
          <w:color w:val="auto"/>
          <w:sz w:val="28"/>
          <w:szCs w:val="28"/>
          <w:highlight w:val="none"/>
          <w:lang w:val="en-US" w:eastAsia="zh-CN"/>
        </w:rPr>
      </w:pPr>
      <w:bookmarkStart w:id="56" w:name="_Toc13705"/>
      <w:bookmarkStart w:id="57" w:name="_Toc12635"/>
      <w:r>
        <w:rPr>
          <w:rFonts w:hint="eastAsia" w:ascii="Times New Roman" w:hAnsi="Times New Roman" w:eastAsia="宋体" w:cs="Times New Roman"/>
          <w:color w:val="auto"/>
          <w:sz w:val="28"/>
          <w:szCs w:val="28"/>
          <w:highlight w:val="none"/>
          <w:lang w:eastAsia="zh-CN"/>
        </w:rPr>
        <w:t>附件</w:t>
      </w:r>
      <w:r>
        <w:rPr>
          <w:rFonts w:hint="default" w:ascii="Times New Roman" w:hAnsi="Times New Roman" w:cs="Times New Roman"/>
          <w:color w:val="auto"/>
          <w:sz w:val="28"/>
          <w:szCs w:val="28"/>
          <w:highlight w:val="none"/>
          <w:lang w:val="en-US" w:eastAsia="zh-CN"/>
        </w:rPr>
        <w:t>5</w:t>
      </w:r>
      <w:r>
        <w:rPr>
          <w:rFonts w:hint="eastAsia" w:ascii="Times New Roman" w:hAnsi="Times New Roman" w:eastAsia="宋体" w:cs="Times New Roman"/>
          <w:color w:val="auto"/>
          <w:sz w:val="28"/>
          <w:szCs w:val="28"/>
          <w:highlight w:val="none"/>
          <w:lang w:val="en-US" w:eastAsia="zh-CN"/>
        </w:rPr>
        <w:t>：生态环境分区管控分析报告</w:t>
      </w:r>
      <w:bookmarkEnd w:id="56"/>
      <w:bookmarkEnd w:id="57"/>
    </w:p>
    <w:p>
      <w:pPr>
        <w:pStyle w:val="19"/>
        <w:widowControl w:val="0"/>
        <w:numPr>
          <w:ilvl w:val="0"/>
          <w:numId w:val="0"/>
        </w:numPr>
        <w:jc w:val="both"/>
        <w:rPr>
          <w:rFonts w:hint="default"/>
          <w:color w:val="auto"/>
          <w:highlight w:val="none"/>
          <w:lang w:val="en-US" w:eastAsia="zh-CN"/>
        </w:rPr>
      </w:pPr>
      <w:r>
        <w:rPr>
          <w:rFonts w:hint="default"/>
          <w:color w:val="auto"/>
          <w:highlight w:val="none"/>
          <w:lang w:val="en-US" w:eastAsia="zh-CN"/>
        </w:rPr>
        <w:drawing>
          <wp:inline distT="0" distB="0" distL="114300" distR="114300">
            <wp:extent cx="5935345" cy="4196715"/>
            <wp:effectExtent l="0" t="0" r="8255" b="13335"/>
            <wp:docPr id="55" name="图片 55" descr="双鸭山华天建筑工程有限公司华意建材分公司商品混凝土搅拌站建设_2025年06月25日111738_分析报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双鸭山华天建筑工程有限公司华意建材分公司商品混凝土搅拌站建设_2025年06月25日111738_分析报告_00"/>
                    <pic:cNvPicPr>
                      <a:picLocks noChangeAspect="1"/>
                    </pic:cNvPicPr>
                  </pic:nvPicPr>
                  <pic:blipFill>
                    <a:blip r:embed="rId45"/>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54" name="图片 54" descr="双鸭山华天建筑工程有限公司华意建材分公司商品混凝土搅拌站建设_2025年06月25日111738_分析报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双鸭山华天建筑工程有限公司华意建材分公司商品混凝土搅拌站建设_2025年06月25日111738_分析报告_01"/>
                    <pic:cNvPicPr>
                      <a:picLocks noChangeAspect="1"/>
                    </pic:cNvPicPr>
                  </pic:nvPicPr>
                  <pic:blipFill>
                    <a:blip r:embed="rId46"/>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53" name="图片 53" descr="双鸭山华天建筑工程有限公司华意建材分公司商品混凝土搅拌站建设_2025年06月25日111738_分析报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双鸭山华天建筑工程有限公司华意建材分公司商品混凝土搅拌站建设_2025年06月25日111738_分析报告_02"/>
                    <pic:cNvPicPr>
                      <a:picLocks noChangeAspect="1"/>
                    </pic:cNvPicPr>
                  </pic:nvPicPr>
                  <pic:blipFill>
                    <a:blip r:embed="rId47"/>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52" name="图片 52" descr="双鸭山华天建筑工程有限公司华意建材分公司商品混凝土搅拌站建设_2025年06月25日111738_分析报告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双鸭山华天建筑工程有限公司华意建材分公司商品混凝土搅拌站建设_2025年06月25日111738_分析报告_03"/>
                    <pic:cNvPicPr>
                      <a:picLocks noChangeAspect="1"/>
                    </pic:cNvPicPr>
                  </pic:nvPicPr>
                  <pic:blipFill>
                    <a:blip r:embed="rId48"/>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51" name="图片 51" descr="双鸭山华天建筑工程有限公司华意建材分公司商品混凝土搅拌站建设_2025年06月25日111738_分析报告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双鸭山华天建筑工程有限公司华意建材分公司商品混凝土搅拌站建设_2025年06月25日111738_分析报告_04"/>
                    <pic:cNvPicPr>
                      <a:picLocks noChangeAspect="1"/>
                    </pic:cNvPicPr>
                  </pic:nvPicPr>
                  <pic:blipFill>
                    <a:blip r:embed="rId49"/>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50" name="图片 50" descr="双鸭山华天建筑工程有限公司华意建材分公司商品混凝土搅拌站建设_2025年06月25日111738_分析报告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双鸭山华天建筑工程有限公司华意建材分公司商品混凝土搅拌站建设_2025年06月25日111738_分析报告_05"/>
                    <pic:cNvPicPr>
                      <a:picLocks noChangeAspect="1"/>
                    </pic:cNvPicPr>
                  </pic:nvPicPr>
                  <pic:blipFill>
                    <a:blip r:embed="rId50"/>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49" name="图片 49" descr="双鸭山华天建筑工程有限公司华意建材分公司商品混凝土搅拌站建设_2025年06月25日111738_分析报告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双鸭山华天建筑工程有限公司华意建材分公司商品混凝土搅拌站建设_2025年06月25日111738_分析报告_06"/>
                    <pic:cNvPicPr>
                      <a:picLocks noChangeAspect="1"/>
                    </pic:cNvPicPr>
                  </pic:nvPicPr>
                  <pic:blipFill>
                    <a:blip r:embed="rId51"/>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48" name="图片 48" descr="双鸭山华天建筑工程有限公司华意建材分公司商品混凝土搅拌站建设_2025年06月25日111738_分析报告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双鸭山华天建筑工程有限公司华意建材分公司商品混凝土搅拌站建设_2025年06月25日111738_分析报告_07"/>
                    <pic:cNvPicPr>
                      <a:picLocks noChangeAspect="1"/>
                    </pic:cNvPicPr>
                  </pic:nvPicPr>
                  <pic:blipFill>
                    <a:blip r:embed="rId52"/>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47" name="图片 47" descr="双鸭山华天建筑工程有限公司华意建材分公司商品混凝土搅拌站建设_2025年06月25日111738_分析报告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双鸭山华天建筑工程有限公司华意建材分公司商品混凝土搅拌站建设_2025年06月25日111738_分析报告_08"/>
                    <pic:cNvPicPr>
                      <a:picLocks noChangeAspect="1"/>
                    </pic:cNvPicPr>
                  </pic:nvPicPr>
                  <pic:blipFill>
                    <a:blip r:embed="rId53"/>
                    <a:stretch>
                      <a:fillRect/>
                    </a:stretch>
                  </pic:blipFill>
                  <pic:spPr>
                    <a:xfrm>
                      <a:off x="0" y="0"/>
                      <a:ext cx="5935345" cy="4196715"/>
                    </a:xfrm>
                    <a:prstGeom prst="rect">
                      <a:avLst/>
                    </a:prstGeom>
                  </pic:spPr>
                </pic:pic>
              </a:graphicData>
            </a:graphic>
          </wp:inline>
        </w:drawing>
      </w:r>
      <w:r>
        <w:rPr>
          <w:rFonts w:hint="default"/>
          <w:color w:val="auto"/>
          <w:highlight w:val="none"/>
          <w:lang w:val="en-US" w:eastAsia="zh-CN"/>
        </w:rPr>
        <w:drawing>
          <wp:inline distT="0" distB="0" distL="114300" distR="114300">
            <wp:extent cx="5935345" cy="4196715"/>
            <wp:effectExtent l="0" t="0" r="8255" b="13335"/>
            <wp:docPr id="46" name="图片 46" descr="双鸭山华天建筑工程有限公司华意建材分公司商品混凝土搅拌站建设_2025年06月25日111738_分析报告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双鸭山华天建筑工程有限公司华意建材分公司商品混凝土搅拌站建设_2025年06月25日111738_分析报告_09"/>
                    <pic:cNvPicPr>
                      <a:picLocks noChangeAspect="1"/>
                    </pic:cNvPicPr>
                  </pic:nvPicPr>
                  <pic:blipFill>
                    <a:blip r:embed="rId54"/>
                    <a:stretch>
                      <a:fillRect/>
                    </a:stretch>
                  </pic:blipFill>
                  <pic:spPr>
                    <a:xfrm>
                      <a:off x="0" y="0"/>
                      <a:ext cx="5935345" cy="4196715"/>
                    </a:xfrm>
                    <a:prstGeom prst="rect">
                      <a:avLst/>
                    </a:prstGeom>
                  </pic:spPr>
                </pic:pic>
              </a:graphicData>
            </a:graphic>
          </wp:inline>
        </w:drawing>
      </w: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p>
      <w:pPr>
        <w:pStyle w:val="19"/>
        <w:widowControl w:val="0"/>
        <w:numPr>
          <w:ilvl w:val="0"/>
          <w:numId w:val="0"/>
        </w:numPr>
        <w:jc w:val="both"/>
        <w:rPr>
          <w:rFonts w:hint="default"/>
          <w:color w:val="auto"/>
          <w:highlight w:val="none"/>
          <w:lang w:val="en-US" w:eastAsia="zh-CN"/>
        </w:rPr>
      </w:pPr>
    </w:p>
    <w:sectPr>
      <w:footerReference r:id="rId12" w:type="default"/>
      <w:pgSz w:w="11906" w:h="16838"/>
      <w:pgMar w:top="1701" w:right="1247" w:bottom="1701" w:left="1304"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 w:name="Arial Black">
    <w:panose1 w:val="020B0A04020102020204"/>
    <w:charset w:val="00"/>
    <w:family w:val="swiss"/>
    <w:pitch w:val="default"/>
    <w:sig w:usb0="A00002AF" w:usb1="400078FB" w:usb2="00000000" w:usb3="00000000" w:csb0="6000009F" w:csb1="DFD70000"/>
  </w:font>
  <w:font w:name="TimesNewRomanPS-BoldMT">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0586558"/>
    </w:sdtPr>
    <w:sdtContent>
      <w:p>
        <w:pPr>
          <w:pStyle w:val="23"/>
          <w:jc w:val="center"/>
        </w:pPr>
        <w:r>
          <w:fldChar w:fldCharType="begin"/>
        </w:r>
        <w:r>
          <w:instrText xml:space="preserve">PAGE   \* MERGEFORMAT</w:instrText>
        </w:r>
        <w:r>
          <w:fldChar w:fldCharType="separate"/>
        </w:r>
        <w:r>
          <w:rPr>
            <w:lang w:val="zh-CN"/>
          </w:rPr>
          <w:t>64</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36"/>
      </w:rPr>
    </w:pPr>
    <w:r>
      <w:fldChar w:fldCharType="begin"/>
    </w:r>
    <w:r>
      <w:rPr>
        <w:rStyle w:val="36"/>
      </w:rPr>
      <w:instrText xml:space="preserve">PAGE  </w:instrText>
    </w:r>
    <w:r>
      <w:fldChar w:fldCharType="end"/>
    </w:r>
  </w:p>
  <w:p>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5677678"/>
    </w:sdtPr>
    <w:sdtContent>
      <w:p>
        <w:pPr>
          <w:pStyle w:val="23"/>
          <w:jc w:val="center"/>
        </w:pPr>
        <w:r>
          <w:fldChar w:fldCharType="begin"/>
        </w:r>
        <w:r>
          <w:instrText xml:space="preserve">PAGE   \* MERGEFORMAT</w:instrText>
        </w:r>
        <w:r>
          <w:fldChar w:fldCharType="separate"/>
        </w:r>
        <w:r>
          <w:rPr>
            <w:lang w:val="zh-CN"/>
          </w:rPr>
          <w:t>10</w:t>
        </w:r>
        <w:r>
          <w:rPr>
            <w:lang w:val="zh-C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6622230"/>
    </w:sdtPr>
    <w:sdtContent>
      <w:p>
        <w:pPr>
          <w:pStyle w:val="23"/>
          <w:jc w:val="center"/>
        </w:pPr>
        <w:r>
          <w:fldChar w:fldCharType="begin"/>
        </w:r>
        <w:r>
          <w:instrText xml:space="preserve">PAGE   \* MERGEFORMAT</w:instrText>
        </w:r>
        <w:r>
          <w:fldChar w:fldCharType="separate"/>
        </w:r>
        <w:r>
          <w:rPr>
            <w:lang w:val="zh-CN"/>
          </w:rPr>
          <w:t>20</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3360438"/>
    </w:sdtPr>
    <w:sdtContent>
      <w:p>
        <w:pPr>
          <w:pStyle w:val="23"/>
          <w:jc w:val="center"/>
        </w:pPr>
        <w:r>
          <w:fldChar w:fldCharType="begin"/>
        </w:r>
        <w:r>
          <w:instrText xml:space="preserve">PAGE   \* MERGEFORMAT</w:instrText>
        </w:r>
        <w:r>
          <w:fldChar w:fldCharType="separate"/>
        </w:r>
        <w:r>
          <w:rPr>
            <w:lang w:val="zh-CN"/>
          </w:rPr>
          <w:t>27</w:t>
        </w:r>
        <w:r>
          <w:rPr>
            <w:lang w:val="zh-C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671166"/>
    </w:sdtPr>
    <w:sdtContent>
      <w:p>
        <w:pPr>
          <w:pStyle w:val="23"/>
          <w:jc w:val="center"/>
        </w:pPr>
        <w:r>
          <w:fldChar w:fldCharType="begin"/>
        </w:r>
        <w:r>
          <w:instrText xml:space="preserve">PAGE   \* MERGEFORMAT</w:instrText>
        </w:r>
        <w:r>
          <w:fldChar w:fldCharType="separate"/>
        </w:r>
        <w:r>
          <w:rPr>
            <w:lang w:val="zh-CN"/>
          </w:rPr>
          <w:t>34</w:t>
        </w:r>
        <w:r>
          <w:rPr>
            <w:lang w:val="zh-C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3973018"/>
    </w:sdtPr>
    <w:sdtContent>
      <w:p>
        <w:pPr>
          <w:pStyle w:val="23"/>
          <w:jc w:val="center"/>
        </w:pPr>
        <w:r>
          <w:fldChar w:fldCharType="begin"/>
        </w:r>
        <w:r>
          <w:instrText xml:space="preserve">PAGE   \* MERGEFORMAT</w:instrText>
        </w:r>
        <w:r>
          <w:fldChar w:fldCharType="separate"/>
        </w:r>
        <w:r>
          <w:rPr>
            <w:lang w:val="zh-CN"/>
          </w:rPr>
          <w:t>42</w:t>
        </w:r>
        <w:r>
          <w:rPr>
            <w:lang w:val="zh-C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6873058"/>
    </w:sdtPr>
    <w:sdtContent>
      <w:p>
        <w:pPr>
          <w:pStyle w:val="23"/>
          <w:jc w:val="center"/>
        </w:pPr>
        <w:r>
          <w:fldChar w:fldCharType="begin"/>
        </w:r>
        <w:r>
          <w:instrText xml:space="preserve">PAGE   \* MERGEFORMAT</w:instrText>
        </w:r>
        <w:r>
          <w:fldChar w:fldCharType="separate"/>
        </w:r>
        <w:r>
          <w:rPr>
            <w:lang w:val="zh-CN"/>
          </w:rPr>
          <w:t>43</w:t>
        </w:r>
        <w:r>
          <w:rPr>
            <w:lang w:val="zh-CN"/>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4683143"/>
    </w:sdtPr>
    <w:sdtContent>
      <w:p>
        <w:pPr>
          <w:pStyle w:val="23"/>
          <w:jc w:val="center"/>
        </w:pPr>
        <w:r>
          <w:fldChar w:fldCharType="begin"/>
        </w:r>
        <w:r>
          <w:instrText xml:space="preserve">PAGE   \* MERGEFORMAT</w:instrText>
        </w:r>
        <w:r>
          <w:fldChar w:fldCharType="separate"/>
        </w:r>
        <w:r>
          <w:rPr>
            <w:lang w:val="zh-CN"/>
          </w:rPr>
          <w:t>63</w:t>
        </w:r>
        <w:r>
          <w:rPr>
            <w:lang w:val="zh-CN"/>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C00545"/>
    <w:multiLevelType w:val="singleLevel"/>
    <w:tmpl w:val="90C00545"/>
    <w:lvl w:ilvl="0" w:tentative="0">
      <w:start w:val="1"/>
      <w:numFmt w:val="chineseCounting"/>
      <w:suff w:val="nothing"/>
      <w:lvlText w:val="%1、"/>
      <w:lvlJc w:val="left"/>
      <w:rPr>
        <w:rFonts w:hint="eastAsia"/>
      </w:rPr>
    </w:lvl>
  </w:abstractNum>
  <w:abstractNum w:abstractNumId="1">
    <w:nsid w:val="E4F19374"/>
    <w:multiLevelType w:val="singleLevel"/>
    <w:tmpl w:val="E4F19374"/>
    <w:lvl w:ilvl="0" w:tentative="0">
      <w:start w:val="1"/>
      <w:numFmt w:val="decimal"/>
      <w:suff w:val="nothing"/>
      <w:lvlText w:val="%1、"/>
      <w:lvlJc w:val="left"/>
    </w:lvl>
  </w:abstractNum>
  <w:abstractNum w:abstractNumId="2">
    <w:nsid w:val="3AE77948"/>
    <w:multiLevelType w:val="singleLevel"/>
    <w:tmpl w:val="3AE77948"/>
    <w:lvl w:ilvl="0" w:tentative="0">
      <w:start w:val="2"/>
      <w:numFmt w:val="chineseCounting"/>
      <w:suff w:val="nothing"/>
      <w:lvlText w:val="（%1）"/>
      <w:lvlJc w:val="left"/>
      <w:rPr>
        <w:rFonts w:hint="eastAsia"/>
      </w:rPr>
    </w:lvl>
  </w:abstractNum>
  <w:abstractNum w:abstractNumId="3">
    <w:nsid w:val="401DAA51"/>
    <w:multiLevelType w:val="singleLevel"/>
    <w:tmpl w:val="401DAA51"/>
    <w:lvl w:ilvl="0" w:tentative="0">
      <w:start w:val="1"/>
      <w:numFmt w:val="bullet"/>
      <w:pStyle w:val="19"/>
      <w:lvlText w:val=""/>
      <w:lvlJc w:val="left"/>
      <w:pPr>
        <w:tabs>
          <w:tab w:val="left" w:pos="2040"/>
        </w:tabs>
        <w:ind w:left="2040" w:hanging="360"/>
      </w:pPr>
      <w:rPr>
        <w:rFonts w:hint="default" w:ascii="Wingdings" w:hAnsi="Wingding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0"/>
  <w:bordersDoNotSurroundFooter w:val="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yM2JmMDZmYTUyODBlYzQwZmYzNjk4MDljMTQwOTgifQ=="/>
  </w:docVars>
  <w:rsids>
    <w:rsidRoot w:val="00A14947"/>
    <w:rsid w:val="00001987"/>
    <w:rsid w:val="00002EB7"/>
    <w:rsid w:val="000060B3"/>
    <w:rsid w:val="0001425B"/>
    <w:rsid w:val="00017A92"/>
    <w:rsid w:val="000205D1"/>
    <w:rsid w:val="00021378"/>
    <w:rsid w:val="0002489A"/>
    <w:rsid w:val="0004364B"/>
    <w:rsid w:val="000466F8"/>
    <w:rsid w:val="000476E3"/>
    <w:rsid w:val="0005435D"/>
    <w:rsid w:val="00054898"/>
    <w:rsid w:val="00055427"/>
    <w:rsid w:val="000560E2"/>
    <w:rsid w:val="00061B1F"/>
    <w:rsid w:val="00063390"/>
    <w:rsid w:val="0007080C"/>
    <w:rsid w:val="00071064"/>
    <w:rsid w:val="00071835"/>
    <w:rsid w:val="00072FF0"/>
    <w:rsid w:val="000733C4"/>
    <w:rsid w:val="00074783"/>
    <w:rsid w:val="00074B16"/>
    <w:rsid w:val="0008070B"/>
    <w:rsid w:val="000810AC"/>
    <w:rsid w:val="0008121A"/>
    <w:rsid w:val="00081A02"/>
    <w:rsid w:val="00082231"/>
    <w:rsid w:val="00082973"/>
    <w:rsid w:val="000843B3"/>
    <w:rsid w:val="000869E9"/>
    <w:rsid w:val="0009180D"/>
    <w:rsid w:val="00092D38"/>
    <w:rsid w:val="0009377B"/>
    <w:rsid w:val="00095151"/>
    <w:rsid w:val="000A1786"/>
    <w:rsid w:val="000A20C9"/>
    <w:rsid w:val="000B058F"/>
    <w:rsid w:val="000B29BD"/>
    <w:rsid w:val="000B4467"/>
    <w:rsid w:val="000B4DB9"/>
    <w:rsid w:val="000B7D03"/>
    <w:rsid w:val="000C09AC"/>
    <w:rsid w:val="000C2EBF"/>
    <w:rsid w:val="000C2F1F"/>
    <w:rsid w:val="000C767F"/>
    <w:rsid w:val="000D4DC5"/>
    <w:rsid w:val="000D5A44"/>
    <w:rsid w:val="000E3ED2"/>
    <w:rsid w:val="000F4B8A"/>
    <w:rsid w:val="00100B9A"/>
    <w:rsid w:val="0010461D"/>
    <w:rsid w:val="00106C12"/>
    <w:rsid w:val="00126303"/>
    <w:rsid w:val="00131F42"/>
    <w:rsid w:val="00132559"/>
    <w:rsid w:val="001335FB"/>
    <w:rsid w:val="001357F1"/>
    <w:rsid w:val="00140FA8"/>
    <w:rsid w:val="00141E2A"/>
    <w:rsid w:val="00142E82"/>
    <w:rsid w:val="00142FEB"/>
    <w:rsid w:val="00143A2D"/>
    <w:rsid w:val="00145A41"/>
    <w:rsid w:val="00151675"/>
    <w:rsid w:val="00157435"/>
    <w:rsid w:val="00161D0B"/>
    <w:rsid w:val="001639E6"/>
    <w:rsid w:val="00165744"/>
    <w:rsid w:val="00167E43"/>
    <w:rsid w:val="00171038"/>
    <w:rsid w:val="00174EB2"/>
    <w:rsid w:val="0017504D"/>
    <w:rsid w:val="0017653C"/>
    <w:rsid w:val="0017671A"/>
    <w:rsid w:val="00177422"/>
    <w:rsid w:val="001821F8"/>
    <w:rsid w:val="00184590"/>
    <w:rsid w:val="001870D1"/>
    <w:rsid w:val="0018781E"/>
    <w:rsid w:val="0019262D"/>
    <w:rsid w:val="00192D26"/>
    <w:rsid w:val="00193363"/>
    <w:rsid w:val="001A1B35"/>
    <w:rsid w:val="001A356C"/>
    <w:rsid w:val="001A48A2"/>
    <w:rsid w:val="001A5E36"/>
    <w:rsid w:val="001A60F7"/>
    <w:rsid w:val="001A6F61"/>
    <w:rsid w:val="001B636B"/>
    <w:rsid w:val="001B72B8"/>
    <w:rsid w:val="001C1687"/>
    <w:rsid w:val="001C37A0"/>
    <w:rsid w:val="001C69B3"/>
    <w:rsid w:val="001D5595"/>
    <w:rsid w:val="001D5EE2"/>
    <w:rsid w:val="001D7874"/>
    <w:rsid w:val="001D7F22"/>
    <w:rsid w:val="001F0F17"/>
    <w:rsid w:val="001F3347"/>
    <w:rsid w:val="001F69E4"/>
    <w:rsid w:val="002125B4"/>
    <w:rsid w:val="00212942"/>
    <w:rsid w:val="00214946"/>
    <w:rsid w:val="002155B8"/>
    <w:rsid w:val="002203E1"/>
    <w:rsid w:val="00224839"/>
    <w:rsid w:val="002249B2"/>
    <w:rsid w:val="00226574"/>
    <w:rsid w:val="002278EC"/>
    <w:rsid w:val="0023280E"/>
    <w:rsid w:val="002377D1"/>
    <w:rsid w:val="00245699"/>
    <w:rsid w:val="002506BC"/>
    <w:rsid w:val="00254345"/>
    <w:rsid w:val="00264557"/>
    <w:rsid w:val="00265F0D"/>
    <w:rsid w:val="0026763C"/>
    <w:rsid w:val="002725C8"/>
    <w:rsid w:val="002756BE"/>
    <w:rsid w:val="00275CC9"/>
    <w:rsid w:val="0027645A"/>
    <w:rsid w:val="002805AB"/>
    <w:rsid w:val="00284204"/>
    <w:rsid w:val="00287A54"/>
    <w:rsid w:val="002903D9"/>
    <w:rsid w:val="00291773"/>
    <w:rsid w:val="00293188"/>
    <w:rsid w:val="00295874"/>
    <w:rsid w:val="002A0673"/>
    <w:rsid w:val="002A168C"/>
    <w:rsid w:val="002A3DC7"/>
    <w:rsid w:val="002B1D6F"/>
    <w:rsid w:val="002B49E2"/>
    <w:rsid w:val="002B7B00"/>
    <w:rsid w:val="002B7C44"/>
    <w:rsid w:val="002C03AE"/>
    <w:rsid w:val="002C2B17"/>
    <w:rsid w:val="002D3DD0"/>
    <w:rsid w:val="002D51C3"/>
    <w:rsid w:val="002D75C3"/>
    <w:rsid w:val="002E1F3A"/>
    <w:rsid w:val="002E298A"/>
    <w:rsid w:val="002F0EF5"/>
    <w:rsid w:val="002F7530"/>
    <w:rsid w:val="002F7953"/>
    <w:rsid w:val="00301978"/>
    <w:rsid w:val="0030332C"/>
    <w:rsid w:val="003051C2"/>
    <w:rsid w:val="00312296"/>
    <w:rsid w:val="00312E31"/>
    <w:rsid w:val="00312FDF"/>
    <w:rsid w:val="00314F0E"/>
    <w:rsid w:val="00317A7D"/>
    <w:rsid w:val="003209E9"/>
    <w:rsid w:val="00321D8E"/>
    <w:rsid w:val="0032232D"/>
    <w:rsid w:val="003247EB"/>
    <w:rsid w:val="00325632"/>
    <w:rsid w:val="00325928"/>
    <w:rsid w:val="0032682B"/>
    <w:rsid w:val="003322D4"/>
    <w:rsid w:val="00332863"/>
    <w:rsid w:val="003344F8"/>
    <w:rsid w:val="0033684D"/>
    <w:rsid w:val="00337B42"/>
    <w:rsid w:val="0034052D"/>
    <w:rsid w:val="00341B42"/>
    <w:rsid w:val="0034348F"/>
    <w:rsid w:val="00347986"/>
    <w:rsid w:val="00356653"/>
    <w:rsid w:val="0035743F"/>
    <w:rsid w:val="00357BE2"/>
    <w:rsid w:val="0036170C"/>
    <w:rsid w:val="00366E0F"/>
    <w:rsid w:val="00367953"/>
    <w:rsid w:val="0037086C"/>
    <w:rsid w:val="00376ED9"/>
    <w:rsid w:val="00377449"/>
    <w:rsid w:val="00381A72"/>
    <w:rsid w:val="00384676"/>
    <w:rsid w:val="00390857"/>
    <w:rsid w:val="003A020F"/>
    <w:rsid w:val="003A2BA8"/>
    <w:rsid w:val="003A3757"/>
    <w:rsid w:val="003A4BF3"/>
    <w:rsid w:val="003B21B6"/>
    <w:rsid w:val="003B420D"/>
    <w:rsid w:val="003C2F2C"/>
    <w:rsid w:val="003C30EE"/>
    <w:rsid w:val="003C339D"/>
    <w:rsid w:val="003C6C16"/>
    <w:rsid w:val="003D2C4F"/>
    <w:rsid w:val="003D6882"/>
    <w:rsid w:val="003D794D"/>
    <w:rsid w:val="003E220A"/>
    <w:rsid w:val="003E29CD"/>
    <w:rsid w:val="003E3058"/>
    <w:rsid w:val="003E76A9"/>
    <w:rsid w:val="003E7D57"/>
    <w:rsid w:val="003F0809"/>
    <w:rsid w:val="003F2B7B"/>
    <w:rsid w:val="003F3031"/>
    <w:rsid w:val="003F6A8C"/>
    <w:rsid w:val="003F755C"/>
    <w:rsid w:val="004007F4"/>
    <w:rsid w:val="00400F23"/>
    <w:rsid w:val="00401402"/>
    <w:rsid w:val="004067C9"/>
    <w:rsid w:val="00406F01"/>
    <w:rsid w:val="00416D38"/>
    <w:rsid w:val="00416D50"/>
    <w:rsid w:val="00416FD5"/>
    <w:rsid w:val="00417772"/>
    <w:rsid w:val="0042012F"/>
    <w:rsid w:val="00420E6A"/>
    <w:rsid w:val="00425A9E"/>
    <w:rsid w:val="00426D6B"/>
    <w:rsid w:val="00431E6C"/>
    <w:rsid w:val="004338E0"/>
    <w:rsid w:val="00433CE7"/>
    <w:rsid w:val="00444FCE"/>
    <w:rsid w:val="00452738"/>
    <w:rsid w:val="00452E18"/>
    <w:rsid w:val="00454DF1"/>
    <w:rsid w:val="00456091"/>
    <w:rsid w:val="00465057"/>
    <w:rsid w:val="00465657"/>
    <w:rsid w:val="00465972"/>
    <w:rsid w:val="00466321"/>
    <w:rsid w:val="00472FB2"/>
    <w:rsid w:val="00473130"/>
    <w:rsid w:val="00476F57"/>
    <w:rsid w:val="00477ECC"/>
    <w:rsid w:val="00484B9B"/>
    <w:rsid w:val="004855F6"/>
    <w:rsid w:val="0048661E"/>
    <w:rsid w:val="0049184E"/>
    <w:rsid w:val="00492597"/>
    <w:rsid w:val="00494670"/>
    <w:rsid w:val="00496A9F"/>
    <w:rsid w:val="004A0334"/>
    <w:rsid w:val="004A3823"/>
    <w:rsid w:val="004B3CE2"/>
    <w:rsid w:val="004B67BF"/>
    <w:rsid w:val="004C0798"/>
    <w:rsid w:val="004C3E89"/>
    <w:rsid w:val="004D0FA0"/>
    <w:rsid w:val="004D5C97"/>
    <w:rsid w:val="004D7243"/>
    <w:rsid w:val="004E11E1"/>
    <w:rsid w:val="004E1208"/>
    <w:rsid w:val="004E2857"/>
    <w:rsid w:val="004E6946"/>
    <w:rsid w:val="004F1AD8"/>
    <w:rsid w:val="004F3425"/>
    <w:rsid w:val="00501C8B"/>
    <w:rsid w:val="005039CB"/>
    <w:rsid w:val="0050558F"/>
    <w:rsid w:val="00506286"/>
    <w:rsid w:val="00510813"/>
    <w:rsid w:val="00511990"/>
    <w:rsid w:val="00511DE0"/>
    <w:rsid w:val="00514586"/>
    <w:rsid w:val="00514870"/>
    <w:rsid w:val="00514B9B"/>
    <w:rsid w:val="00517F02"/>
    <w:rsid w:val="00524303"/>
    <w:rsid w:val="005258A2"/>
    <w:rsid w:val="005331B8"/>
    <w:rsid w:val="00534CB5"/>
    <w:rsid w:val="00537053"/>
    <w:rsid w:val="005401AE"/>
    <w:rsid w:val="00542E07"/>
    <w:rsid w:val="005430B2"/>
    <w:rsid w:val="00545424"/>
    <w:rsid w:val="00550F9C"/>
    <w:rsid w:val="00554A7B"/>
    <w:rsid w:val="0055572C"/>
    <w:rsid w:val="0056106A"/>
    <w:rsid w:val="00561613"/>
    <w:rsid w:val="00561A76"/>
    <w:rsid w:val="00567A1F"/>
    <w:rsid w:val="005720AE"/>
    <w:rsid w:val="005729DE"/>
    <w:rsid w:val="00574EBF"/>
    <w:rsid w:val="0057507F"/>
    <w:rsid w:val="00590903"/>
    <w:rsid w:val="00594D77"/>
    <w:rsid w:val="005969E4"/>
    <w:rsid w:val="005A06B7"/>
    <w:rsid w:val="005A0A32"/>
    <w:rsid w:val="005A1759"/>
    <w:rsid w:val="005A3E77"/>
    <w:rsid w:val="005A5B89"/>
    <w:rsid w:val="005A6354"/>
    <w:rsid w:val="005A68A7"/>
    <w:rsid w:val="005B716F"/>
    <w:rsid w:val="005C0439"/>
    <w:rsid w:val="005C470A"/>
    <w:rsid w:val="005D34AA"/>
    <w:rsid w:val="005D35CE"/>
    <w:rsid w:val="005D36AB"/>
    <w:rsid w:val="005E3DA5"/>
    <w:rsid w:val="005E5CF2"/>
    <w:rsid w:val="00604720"/>
    <w:rsid w:val="006130D1"/>
    <w:rsid w:val="0061705F"/>
    <w:rsid w:val="00617420"/>
    <w:rsid w:val="00617989"/>
    <w:rsid w:val="00617CC3"/>
    <w:rsid w:val="006338FA"/>
    <w:rsid w:val="00635AD9"/>
    <w:rsid w:val="006377A6"/>
    <w:rsid w:val="00637A3D"/>
    <w:rsid w:val="006411EF"/>
    <w:rsid w:val="00641974"/>
    <w:rsid w:val="006463BE"/>
    <w:rsid w:val="00647CA0"/>
    <w:rsid w:val="006600B4"/>
    <w:rsid w:val="006619D4"/>
    <w:rsid w:val="00661D4D"/>
    <w:rsid w:val="00665A01"/>
    <w:rsid w:val="00674273"/>
    <w:rsid w:val="006748B8"/>
    <w:rsid w:val="00676335"/>
    <w:rsid w:val="006775C3"/>
    <w:rsid w:val="00684B64"/>
    <w:rsid w:val="0069290A"/>
    <w:rsid w:val="006938FC"/>
    <w:rsid w:val="00696970"/>
    <w:rsid w:val="0069775A"/>
    <w:rsid w:val="00697813"/>
    <w:rsid w:val="006A3EE8"/>
    <w:rsid w:val="006A72BF"/>
    <w:rsid w:val="006A7994"/>
    <w:rsid w:val="006B03F2"/>
    <w:rsid w:val="006B1204"/>
    <w:rsid w:val="006B17C5"/>
    <w:rsid w:val="006B1B76"/>
    <w:rsid w:val="006B37DC"/>
    <w:rsid w:val="006B4F68"/>
    <w:rsid w:val="006B70A5"/>
    <w:rsid w:val="006C0592"/>
    <w:rsid w:val="006C152C"/>
    <w:rsid w:val="006C272E"/>
    <w:rsid w:val="006C5479"/>
    <w:rsid w:val="006C68A0"/>
    <w:rsid w:val="006D13B5"/>
    <w:rsid w:val="006D70FC"/>
    <w:rsid w:val="006E12FF"/>
    <w:rsid w:val="006E607E"/>
    <w:rsid w:val="006F2D06"/>
    <w:rsid w:val="006F4958"/>
    <w:rsid w:val="006F5374"/>
    <w:rsid w:val="00702C36"/>
    <w:rsid w:val="0070361A"/>
    <w:rsid w:val="00703E4B"/>
    <w:rsid w:val="007045AA"/>
    <w:rsid w:val="00706C5D"/>
    <w:rsid w:val="0071505D"/>
    <w:rsid w:val="00715DF7"/>
    <w:rsid w:val="007162C6"/>
    <w:rsid w:val="007233AA"/>
    <w:rsid w:val="00732670"/>
    <w:rsid w:val="00732922"/>
    <w:rsid w:val="00733295"/>
    <w:rsid w:val="00735E23"/>
    <w:rsid w:val="007403C5"/>
    <w:rsid w:val="007437FA"/>
    <w:rsid w:val="0075021F"/>
    <w:rsid w:val="0075162E"/>
    <w:rsid w:val="00754034"/>
    <w:rsid w:val="00755657"/>
    <w:rsid w:val="00755807"/>
    <w:rsid w:val="007562DA"/>
    <w:rsid w:val="00756556"/>
    <w:rsid w:val="007618C4"/>
    <w:rsid w:val="007634DD"/>
    <w:rsid w:val="00763C1A"/>
    <w:rsid w:val="007651AC"/>
    <w:rsid w:val="00767980"/>
    <w:rsid w:val="00770B19"/>
    <w:rsid w:val="007712B9"/>
    <w:rsid w:val="0077463F"/>
    <w:rsid w:val="007836EA"/>
    <w:rsid w:val="00784CDA"/>
    <w:rsid w:val="007857C3"/>
    <w:rsid w:val="007874BA"/>
    <w:rsid w:val="007906C4"/>
    <w:rsid w:val="00791D35"/>
    <w:rsid w:val="007940EA"/>
    <w:rsid w:val="007967E8"/>
    <w:rsid w:val="007A0589"/>
    <w:rsid w:val="007A1F6E"/>
    <w:rsid w:val="007A2170"/>
    <w:rsid w:val="007A22BF"/>
    <w:rsid w:val="007A3323"/>
    <w:rsid w:val="007A4C43"/>
    <w:rsid w:val="007A5FCB"/>
    <w:rsid w:val="007B227F"/>
    <w:rsid w:val="007B72B8"/>
    <w:rsid w:val="007B7A58"/>
    <w:rsid w:val="007C21B5"/>
    <w:rsid w:val="007C5336"/>
    <w:rsid w:val="007D7288"/>
    <w:rsid w:val="007E4BD2"/>
    <w:rsid w:val="007F217D"/>
    <w:rsid w:val="00800593"/>
    <w:rsid w:val="00801393"/>
    <w:rsid w:val="00802F88"/>
    <w:rsid w:val="00803822"/>
    <w:rsid w:val="0081293E"/>
    <w:rsid w:val="00815465"/>
    <w:rsid w:val="00817E9A"/>
    <w:rsid w:val="00821BF0"/>
    <w:rsid w:val="0082535F"/>
    <w:rsid w:val="008272BC"/>
    <w:rsid w:val="008306BD"/>
    <w:rsid w:val="00831A80"/>
    <w:rsid w:val="008320F1"/>
    <w:rsid w:val="00833743"/>
    <w:rsid w:val="008340A4"/>
    <w:rsid w:val="00843692"/>
    <w:rsid w:val="008644BB"/>
    <w:rsid w:val="00864F9F"/>
    <w:rsid w:val="00866494"/>
    <w:rsid w:val="0086766B"/>
    <w:rsid w:val="0087135F"/>
    <w:rsid w:val="00872D94"/>
    <w:rsid w:val="00873AB6"/>
    <w:rsid w:val="00874132"/>
    <w:rsid w:val="00875088"/>
    <w:rsid w:val="00876B45"/>
    <w:rsid w:val="00880364"/>
    <w:rsid w:val="00880C2E"/>
    <w:rsid w:val="008875D5"/>
    <w:rsid w:val="0089145F"/>
    <w:rsid w:val="00891592"/>
    <w:rsid w:val="00891E9E"/>
    <w:rsid w:val="008A2F68"/>
    <w:rsid w:val="008A68AE"/>
    <w:rsid w:val="008A6FA6"/>
    <w:rsid w:val="008B06F2"/>
    <w:rsid w:val="008B2AAA"/>
    <w:rsid w:val="008B461E"/>
    <w:rsid w:val="008B4FA6"/>
    <w:rsid w:val="008B5282"/>
    <w:rsid w:val="008B61B3"/>
    <w:rsid w:val="008B7C17"/>
    <w:rsid w:val="008C2D01"/>
    <w:rsid w:val="008C40E6"/>
    <w:rsid w:val="008D0F7A"/>
    <w:rsid w:val="008D17E0"/>
    <w:rsid w:val="008D28B7"/>
    <w:rsid w:val="008D2DE9"/>
    <w:rsid w:val="008D2E21"/>
    <w:rsid w:val="008D68E4"/>
    <w:rsid w:val="008D79A6"/>
    <w:rsid w:val="008E0506"/>
    <w:rsid w:val="008E0CFF"/>
    <w:rsid w:val="008E5D6B"/>
    <w:rsid w:val="008E76F0"/>
    <w:rsid w:val="008F1007"/>
    <w:rsid w:val="008F15FE"/>
    <w:rsid w:val="008F2D29"/>
    <w:rsid w:val="008F5187"/>
    <w:rsid w:val="008F60D8"/>
    <w:rsid w:val="008F7A4B"/>
    <w:rsid w:val="00902727"/>
    <w:rsid w:val="0090312B"/>
    <w:rsid w:val="0090361C"/>
    <w:rsid w:val="0091535F"/>
    <w:rsid w:val="00915968"/>
    <w:rsid w:val="0091736D"/>
    <w:rsid w:val="00917479"/>
    <w:rsid w:val="009225F0"/>
    <w:rsid w:val="00925A2F"/>
    <w:rsid w:val="0093037A"/>
    <w:rsid w:val="009364EC"/>
    <w:rsid w:val="0094154D"/>
    <w:rsid w:val="0094414D"/>
    <w:rsid w:val="0095155F"/>
    <w:rsid w:val="00954429"/>
    <w:rsid w:val="009563CE"/>
    <w:rsid w:val="00961820"/>
    <w:rsid w:val="009732AF"/>
    <w:rsid w:val="00975161"/>
    <w:rsid w:val="00976328"/>
    <w:rsid w:val="0097680D"/>
    <w:rsid w:val="009769E8"/>
    <w:rsid w:val="009805B6"/>
    <w:rsid w:val="00982438"/>
    <w:rsid w:val="009838C5"/>
    <w:rsid w:val="0098404C"/>
    <w:rsid w:val="00985283"/>
    <w:rsid w:val="00993269"/>
    <w:rsid w:val="00994F25"/>
    <w:rsid w:val="00994FC0"/>
    <w:rsid w:val="00995992"/>
    <w:rsid w:val="009A03E5"/>
    <w:rsid w:val="009A0F3B"/>
    <w:rsid w:val="009A1BB4"/>
    <w:rsid w:val="009A2628"/>
    <w:rsid w:val="009A3200"/>
    <w:rsid w:val="009B0897"/>
    <w:rsid w:val="009B1C6C"/>
    <w:rsid w:val="009B5C89"/>
    <w:rsid w:val="009B7BD9"/>
    <w:rsid w:val="009C0EDB"/>
    <w:rsid w:val="009C56B5"/>
    <w:rsid w:val="009C727A"/>
    <w:rsid w:val="009C7DD5"/>
    <w:rsid w:val="009E227D"/>
    <w:rsid w:val="009E5019"/>
    <w:rsid w:val="009F312C"/>
    <w:rsid w:val="00A04F1B"/>
    <w:rsid w:val="00A0501B"/>
    <w:rsid w:val="00A10ACB"/>
    <w:rsid w:val="00A115FE"/>
    <w:rsid w:val="00A125EE"/>
    <w:rsid w:val="00A14947"/>
    <w:rsid w:val="00A163D9"/>
    <w:rsid w:val="00A32A83"/>
    <w:rsid w:val="00A33ED4"/>
    <w:rsid w:val="00A342A6"/>
    <w:rsid w:val="00A368DB"/>
    <w:rsid w:val="00A37560"/>
    <w:rsid w:val="00A423AA"/>
    <w:rsid w:val="00A433BC"/>
    <w:rsid w:val="00A443A3"/>
    <w:rsid w:val="00A446C6"/>
    <w:rsid w:val="00A44781"/>
    <w:rsid w:val="00A53EC6"/>
    <w:rsid w:val="00A5482D"/>
    <w:rsid w:val="00A55C0F"/>
    <w:rsid w:val="00A55FE5"/>
    <w:rsid w:val="00A61E83"/>
    <w:rsid w:val="00A726BC"/>
    <w:rsid w:val="00A74353"/>
    <w:rsid w:val="00A75A8B"/>
    <w:rsid w:val="00A81942"/>
    <w:rsid w:val="00A82DD4"/>
    <w:rsid w:val="00A82F0B"/>
    <w:rsid w:val="00A8713F"/>
    <w:rsid w:val="00A90BA1"/>
    <w:rsid w:val="00A91400"/>
    <w:rsid w:val="00A97A9A"/>
    <w:rsid w:val="00AA0671"/>
    <w:rsid w:val="00AA23EC"/>
    <w:rsid w:val="00AA2531"/>
    <w:rsid w:val="00AA2812"/>
    <w:rsid w:val="00AA2982"/>
    <w:rsid w:val="00AB1E09"/>
    <w:rsid w:val="00AB5330"/>
    <w:rsid w:val="00AB7747"/>
    <w:rsid w:val="00AC058D"/>
    <w:rsid w:val="00AC14CE"/>
    <w:rsid w:val="00AC2A56"/>
    <w:rsid w:val="00AC6378"/>
    <w:rsid w:val="00AC7807"/>
    <w:rsid w:val="00AD055E"/>
    <w:rsid w:val="00AD4657"/>
    <w:rsid w:val="00AD47A7"/>
    <w:rsid w:val="00AE0EB7"/>
    <w:rsid w:val="00AF0CBF"/>
    <w:rsid w:val="00AF257F"/>
    <w:rsid w:val="00AF33CF"/>
    <w:rsid w:val="00AF4D50"/>
    <w:rsid w:val="00AF6179"/>
    <w:rsid w:val="00AF73F5"/>
    <w:rsid w:val="00B02DCA"/>
    <w:rsid w:val="00B06806"/>
    <w:rsid w:val="00B07D87"/>
    <w:rsid w:val="00B1295A"/>
    <w:rsid w:val="00B12CF4"/>
    <w:rsid w:val="00B15ADD"/>
    <w:rsid w:val="00B20A45"/>
    <w:rsid w:val="00B22C5C"/>
    <w:rsid w:val="00B239D1"/>
    <w:rsid w:val="00B2470F"/>
    <w:rsid w:val="00B24F30"/>
    <w:rsid w:val="00B30226"/>
    <w:rsid w:val="00B31694"/>
    <w:rsid w:val="00B31ABF"/>
    <w:rsid w:val="00B33BE3"/>
    <w:rsid w:val="00B37711"/>
    <w:rsid w:val="00B4740B"/>
    <w:rsid w:val="00B5006E"/>
    <w:rsid w:val="00B53682"/>
    <w:rsid w:val="00B53B5D"/>
    <w:rsid w:val="00B6055E"/>
    <w:rsid w:val="00B6317D"/>
    <w:rsid w:val="00B65A8A"/>
    <w:rsid w:val="00B7723F"/>
    <w:rsid w:val="00B77ED5"/>
    <w:rsid w:val="00B80534"/>
    <w:rsid w:val="00B8415C"/>
    <w:rsid w:val="00B8433C"/>
    <w:rsid w:val="00B87491"/>
    <w:rsid w:val="00B93209"/>
    <w:rsid w:val="00B97D14"/>
    <w:rsid w:val="00BA29E9"/>
    <w:rsid w:val="00BA56D6"/>
    <w:rsid w:val="00BA7142"/>
    <w:rsid w:val="00BB237C"/>
    <w:rsid w:val="00BB2E30"/>
    <w:rsid w:val="00BB2FAE"/>
    <w:rsid w:val="00BB41A3"/>
    <w:rsid w:val="00BC08A3"/>
    <w:rsid w:val="00BC32DC"/>
    <w:rsid w:val="00BC35B6"/>
    <w:rsid w:val="00BC77FB"/>
    <w:rsid w:val="00BD1B51"/>
    <w:rsid w:val="00BD4596"/>
    <w:rsid w:val="00BD79E4"/>
    <w:rsid w:val="00BE0F1E"/>
    <w:rsid w:val="00BE1405"/>
    <w:rsid w:val="00BE274F"/>
    <w:rsid w:val="00BE312D"/>
    <w:rsid w:val="00BE414B"/>
    <w:rsid w:val="00BE61A5"/>
    <w:rsid w:val="00BF1C20"/>
    <w:rsid w:val="00BF33A1"/>
    <w:rsid w:val="00C00A65"/>
    <w:rsid w:val="00C01026"/>
    <w:rsid w:val="00C042C1"/>
    <w:rsid w:val="00C10578"/>
    <w:rsid w:val="00C135BC"/>
    <w:rsid w:val="00C15441"/>
    <w:rsid w:val="00C15B81"/>
    <w:rsid w:val="00C15C95"/>
    <w:rsid w:val="00C20E7D"/>
    <w:rsid w:val="00C23B42"/>
    <w:rsid w:val="00C2596A"/>
    <w:rsid w:val="00C27537"/>
    <w:rsid w:val="00C27DD2"/>
    <w:rsid w:val="00C302A1"/>
    <w:rsid w:val="00C3071A"/>
    <w:rsid w:val="00C328FE"/>
    <w:rsid w:val="00C33507"/>
    <w:rsid w:val="00C338E4"/>
    <w:rsid w:val="00C352F0"/>
    <w:rsid w:val="00C35C3D"/>
    <w:rsid w:val="00C41187"/>
    <w:rsid w:val="00C43CB1"/>
    <w:rsid w:val="00C4409D"/>
    <w:rsid w:val="00C44E72"/>
    <w:rsid w:val="00C45A06"/>
    <w:rsid w:val="00C46942"/>
    <w:rsid w:val="00C469AB"/>
    <w:rsid w:val="00C46E5C"/>
    <w:rsid w:val="00C47E5B"/>
    <w:rsid w:val="00C51A3C"/>
    <w:rsid w:val="00C554D6"/>
    <w:rsid w:val="00C57C49"/>
    <w:rsid w:val="00C60FCA"/>
    <w:rsid w:val="00C61E4B"/>
    <w:rsid w:val="00C64BFF"/>
    <w:rsid w:val="00C704E9"/>
    <w:rsid w:val="00C70E7D"/>
    <w:rsid w:val="00C763C9"/>
    <w:rsid w:val="00C80057"/>
    <w:rsid w:val="00C813FB"/>
    <w:rsid w:val="00C82232"/>
    <w:rsid w:val="00C82746"/>
    <w:rsid w:val="00C82913"/>
    <w:rsid w:val="00C82BCE"/>
    <w:rsid w:val="00C87C8A"/>
    <w:rsid w:val="00C90164"/>
    <w:rsid w:val="00C90C94"/>
    <w:rsid w:val="00C972B1"/>
    <w:rsid w:val="00CA2CCE"/>
    <w:rsid w:val="00CA43FD"/>
    <w:rsid w:val="00CA7EF8"/>
    <w:rsid w:val="00CB0D16"/>
    <w:rsid w:val="00CC042F"/>
    <w:rsid w:val="00CC3BF9"/>
    <w:rsid w:val="00CC489B"/>
    <w:rsid w:val="00CC61EA"/>
    <w:rsid w:val="00CD25D6"/>
    <w:rsid w:val="00CD2BCD"/>
    <w:rsid w:val="00CD3A4C"/>
    <w:rsid w:val="00CE0A5F"/>
    <w:rsid w:val="00CE10E9"/>
    <w:rsid w:val="00CE2910"/>
    <w:rsid w:val="00CE5393"/>
    <w:rsid w:val="00CF36BE"/>
    <w:rsid w:val="00CF6000"/>
    <w:rsid w:val="00CF6209"/>
    <w:rsid w:val="00D003F3"/>
    <w:rsid w:val="00D01401"/>
    <w:rsid w:val="00D01F4F"/>
    <w:rsid w:val="00D0364F"/>
    <w:rsid w:val="00D06834"/>
    <w:rsid w:val="00D108AC"/>
    <w:rsid w:val="00D13D89"/>
    <w:rsid w:val="00D14971"/>
    <w:rsid w:val="00D25846"/>
    <w:rsid w:val="00D308ED"/>
    <w:rsid w:val="00D36D86"/>
    <w:rsid w:val="00D428AA"/>
    <w:rsid w:val="00D50A34"/>
    <w:rsid w:val="00D53EFA"/>
    <w:rsid w:val="00D575D4"/>
    <w:rsid w:val="00D705E0"/>
    <w:rsid w:val="00D70BC8"/>
    <w:rsid w:val="00D72206"/>
    <w:rsid w:val="00D77E60"/>
    <w:rsid w:val="00D836A4"/>
    <w:rsid w:val="00D84508"/>
    <w:rsid w:val="00D9103A"/>
    <w:rsid w:val="00D941B1"/>
    <w:rsid w:val="00D94A7C"/>
    <w:rsid w:val="00D95896"/>
    <w:rsid w:val="00D96A97"/>
    <w:rsid w:val="00DB08DF"/>
    <w:rsid w:val="00DB2983"/>
    <w:rsid w:val="00DB3E71"/>
    <w:rsid w:val="00DB66E8"/>
    <w:rsid w:val="00DC1257"/>
    <w:rsid w:val="00DC25DC"/>
    <w:rsid w:val="00DC2AE4"/>
    <w:rsid w:val="00DC3DC0"/>
    <w:rsid w:val="00DC5B2B"/>
    <w:rsid w:val="00DC7163"/>
    <w:rsid w:val="00DD318D"/>
    <w:rsid w:val="00DD3313"/>
    <w:rsid w:val="00DD3E07"/>
    <w:rsid w:val="00DD422F"/>
    <w:rsid w:val="00DE417B"/>
    <w:rsid w:val="00DF2E12"/>
    <w:rsid w:val="00DF514A"/>
    <w:rsid w:val="00DF6690"/>
    <w:rsid w:val="00DF6804"/>
    <w:rsid w:val="00E0007E"/>
    <w:rsid w:val="00E0358D"/>
    <w:rsid w:val="00E04323"/>
    <w:rsid w:val="00E070A2"/>
    <w:rsid w:val="00E07659"/>
    <w:rsid w:val="00E103A7"/>
    <w:rsid w:val="00E11644"/>
    <w:rsid w:val="00E13DE9"/>
    <w:rsid w:val="00E14689"/>
    <w:rsid w:val="00E14BD9"/>
    <w:rsid w:val="00E25A9E"/>
    <w:rsid w:val="00E2656A"/>
    <w:rsid w:val="00E305E7"/>
    <w:rsid w:val="00E310BC"/>
    <w:rsid w:val="00E34732"/>
    <w:rsid w:val="00E35DE5"/>
    <w:rsid w:val="00E405CC"/>
    <w:rsid w:val="00E412D0"/>
    <w:rsid w:val="00E42AF6"/>
    <w:rsid w:val="00E442E0"/>
    <w:rsid w:val="00E51B8D"/>
    <w:rsid w:val="00E538F9"/>
    <w:rsid w:val="00E56149"/>
    <w:rsid w:val="00E56322"/>
    <w:rsid w:val="00E60982"/>
    <w:rsid w:val="00E61EC2"/>
    <w:rsid w:val="00E62C62"/>
    <w:rsid w:val="00E64D7B"/>
    <w:rsid w:val="00E654C1"/>
    <w:rsid w:val="00E65D97"/>
    <w:rsid w:val="00E67797"/>
    <w:rsid w:val="00E67B11"/>
    <w:rsid w:val="00E72118"/>
    <w:rsid w:val="00E72A5A"/>
    <w:rsid w:val="00E73354"/>
    <w:rsid w:val="00E740BF"/>
    <w:rsid w:val="00E74C67"/>
    <w:rsid w:val="00E82F58"/>
    <w:rsid w:val="00E9242D"/>
    <w:rsid w:val="00E95893"/>
    <w:rsid w:val="00E977C9"/>
    <w:rsid w:val="00EA558E"/>
    <w:rsid w:val="00EB5255"/>
    <w:rsid w:val="00EB5C47"/>
    <w:rsid w:val="00EC159D"/>
    <w:rsid w:val="00EC5FDC"/>
    <w:rsid w:val="00ED0639"/>
    <w:rsid w:val="00ED0ACD"/>
    <w:rsid w:val="00ED526E"/>
    <w:rsid w:val="00ED5B58"/>
    <w:rsid w:val="00ED6686"/>
    <w:rsid w:val="00EF37A1"/>
    <w:rsid w:val="00EF4755"/>
    <w:rsid w:val="00EF5155"/>
    <w:rsid w:val="00EF7135"/>
    <w:rsid w:val="00EF774A"/>
    <w:rsid w:val="00F004F0"/>
    <w:rsid w:val="00F0165A"/>
    <w:rsid w:val="00F027DB"/>
    <w:rsid w:val="00F0552A"/>
    <w:rsid w:val="00F079FC"/>
    <w:rsid w:val="00F137AB"/>
    <w:rsid w:val="00F14A7A"/>
    <w:rsid w:val="00F1603B"/>
    <w:rsid w:val="00F22985"/>
    <w:rsid w:val="00F3383E"/>
    <w:rsid w:val="00F37B0B"/>
    <w:rsid w:val="00F37FCB"/>
    <w:rsid w:val="00F42D83"/>
    <w:rsid w:val="00F43BE2"/>
    <w:rsid w:val="00F442E7"/>
    <w:rsid w:val="00F465A7"/>
    <w:rsid w:val="00F50656"/>
    <w:rsid w:val="00F50B7C"/>
    <w:rsid w:val="00F550E6"/>
    <w:rsid w:val="00F60D18"/>
    <w:rsid w:val="00F61E88"/>
    <w:rsid w:val="00F63B7C"/>
    <w:rsid w:val="00F66C3B"/>
    <w:rsid w:val="00F72847"/>
    <w:rsid w:val="00F74345"/>
    <w:rsid w:val="00F7496F"/>
    <w:rsid w:val="00F8078D"/>
    <w:rsid w:val="00F80A0A"/>
    <w:rsid w:val="00F82B19"/>
    <w:rsid w:val="00F84D4E"/>
    <w:rsid w:val="00F87143"/>
    <w:rsid w:val="00F9212D"/>
    <w:rsid w:val="00F9236C"/>
    <w:rsid w:val="00F935F2"/>
    <w:rsid w:val="00F9444B"/>
    <w:rsid w:val="00F965DA"/>
    <w:rsid w:val="00FA406A"/>
    <w:rsid w:val="00FA4D19"/>
    <w:rsid w:val="00FA529F"/>
    <w:rsid w:val="00FA579C"/>
    <w:rsid w:val="00FB503A"/>
    <w:rsid w:val="00FB516C"/>
    <w:rsid w:val="00FC193C"/>
    <w:rsid w:val="00FC2292"/>
    <w:rsid w:val="00FC31C8"/>
    <w:rsid w:val="00FC3E74"/>
    <w:rsid w:val="00FD0236"/>
    <w:rsid w:val="00FD122E"/>
    <w:rsid w:val="00FD18F4"/>
    <w:rsid w:val="00FD54DB"/>
    <w:rsid w:val="00FD5C3D"/>
    <w:rsid w:val="00FD619F"/>
    <w:rsid w:val="00FE0C1A"/>
    <w:rsid w:val="00FE12F1"/>
    <w:rsid w:val="00FE2066"/>
    <w:rsid w:val="00FE4269"/>
    <w:rsid w:val="00FE47AF"/>
    <w:rsid w:val="00FE6CD8"/>
    <w:rsid w:val="00FE6E67"/>
    <w:rsid w:val="00FF0E18"/>
    <w:rsid w:val="00FF2080"/>
    <w:rsid w:val="00FF2F99"/>
    <w:rsid w:val="00FF600C"/>
    <w:rsid w:val="00FF7C96"/>
    <w:rsid w:val="01290F7E"/>
    <w:rsid w:val="015D1E09"/>
    <w:rsid w:val="02445A7A"/>
    <w:rsid w:val="02697903"/>
    <w:rsid w:val="02E11168"/>
    <w:rsid w:val="02F96569"/>
    <w:rsid w:val="03915165"/>
    <w:rsid w:val="03EA7B21"/>
    <w:rsid w:val="051A36AB"/>
    <w:rsid w:val="05466C03"/>
    <w:rsid w:val="05837995"/>
    <w:rsid w:val="05F83EAE"/>
    <w:rsid w:val="063E7D85"/>
    <w:rsid w:val="068723D9"/>
    <w:rsid w:val="06B3316B"/>
    <w:rsid w:val="07293586"/>
    <w:rsid w:val="07295285"/>
    <w:rsid w:val="07636392"/>
    <w:rsid w:val="07770C56"/>
    <w:rsid w:val="077E0AE9"/>
    <w:rsid w:val="07816281"/>
    <w:rsid w:val="079F3018"/>
    <w:rsid w:val="07B1363E"/>
    <w:rsid w:val="07B54D24"/>
    <w:rsid w:val="07C54FE7"/>
    <w:rsid w:val="07E54756"/>
    <w:rsid w:val="07F91EF0"/>
    <w:rsid w:val="08C10DEF"/>
    <w:rsid w:val="092217DD"/>
    <w:rsid w:val="093A7294"/>
    <w:rsid w:val="0A263993"/>
    <w:rsid w:val="0A2D3AC2"/>
    <w:rsid w:val="0A4523F2"/>
    <w:rsid w:val="0AA755DF"/>
    <w:rsid w:val="0AE17EC3"/>
    <w:rsid w:val="0AF112D7"/>
    <w:rsid w:val="0B120D44"/>
    <w:rsid w:val="0BAF665A"/>
    <w:rsid w:val="0BD27BF6"/>
    <w:rsid w:val="0C207036"/>
    <w:rsid w:val="0C3B3C7D"/>
    <w:rsid w:val="0C3B6F66"/>
    <w:rsid w:val="0CAB2EAE"/>
    <w:rsid w:val="0D227B78"/>
    <w:rsid w:val="0D4C1C87"/>
    <w:rsid w:val="0D621C7D"/>
    <w:rsid w:val="0E0B7D94"/>
    <w:rsid w:val="0E73034D"/>
    <w:rsid w:val="0E7E6896"/>
    <w:rsid w:val="0F13775A"/>
    <w:rsid w:val="0F302F05"/>
    <w:rsid w:val="0F4C3527"/>
    <w:rsid w:val="0F5F45FE"/>
    <w:rsid w:val="0F9A112B"/>
    <w:rsid w:val="106D2F64"/>
    <w:rsid w:val="10B63710"/>
    <w:rsid w:val="10D22000"/>
    <w:rsid w:val="10E83DBC"/>
    <w:rsid w:val="10F10820"/>
    <w:rsid w:val="111C2F7A"/>
    <w:rsid w:val="112565C4"/>
    <w:rsid w:val="115B221B"/>
    <w:rsid w:val="115F31A2"/>
    <w:rsid w:val="11665CA1"/>
    <w:rsid w:val="11C957E2"/>
    <w:rsid w:val="12CC43F5"/>
    <w:rsid w:val="139231CA"/>
    <w:rsid w:val="13951726"/>
    <w:rsid w:val="14396509"/>
    <w:rsid w:val="14DD2C3C"/>
    <w:rsid w:val="14F21366"/>
    <w:rsid w:val="15115EBF"/>
    <w:rsid w:val="16087E1D"/>
    <w:rsid w:val="16705C20"/>
    <w:rsid w:val="17701D14"/>
    <w:rsid w:val="17735226"/>
    <w:rsid w:val="17CF4CC1"/>
    <w:rsid w:val="17E067B2"/>
    <w:rsid w:val="18952B2B"/>
    <w:rsid w:val="189F624C"/>
    <w:rsid w:val="192F6A28"/>
    <w:rsid w:val="19BC0B99"/>
    <w:rsid w:val="19F8485C"/>
    <w:rsid w:val="1A0F4768"/>
    <w:rsid w:val="1A1C66C0"/>
    <w:rsid w:val="1A42393B"/>
    <w:rsid w:val="1A525A48"/>
    <w:rsid w:val="1AAD45DE"/>
    <w:rsid w:val="1B046F80"/>
    <w:rsid w:val="1B303AC0"/>
    <w:rsid w:val="1B3267B5"/>
    <w:rsid w:val="1B40161D"/>
    <w:rsid w:val="1B441859"/>
    <w:rsid w:val="1B6606B1"/>
    <w:rsid w:val="1BE969CD"/>
    <w:rsid w:val="1C250B8D"/>
    <w:rsid w:val="1C5E7925"/>
    <w:rsid w:val="1CFD070F"/>
    <w:rsid w:val="1D540E0F"/>
    <w:rsid w:val="1D5F6196"/>
    <w:rsid w:val="1D6132A5"/>
    <w:rsid w:val="1D8E56D5"/>
    <w:rsid w:val="1E74393D"/>
    <w:rsid w:val="1E7A43DA"/>
    <w:rsid w:val="1EAC36AF"/>
    <w:rsid w:val="1F2C755F"/>
    <w:rsid w:val="1F6B68E4"/>
    <w:rsid w:val="1FD918BE"/>
    <w:rsid w:val="1FE7539E"/>
    <w:rsid w:val="20671BE0"/>
    <w:rsid w:val="20896518"/>
    <w:rsid w:val="20963CB8"/>
    <w:rsid w:val="20A81A1B"/>
    <w:rsid w:val="20B07FB6"/>
    <w:rsid w:val="20B646FB"/>
    <w:rsid w:val="213B74B1"/>
    <w:rsid w:val="215A2310"/>
    <w:rsid w:val="21780E44"/>
    <w:rsid w:val="21C942D5"/>
    <w:rsid w:val="21DE318A"/>
    <w:rsid w:val="21EF5B80"/>
    <w:rsid w:val="220C07EE"/>
    <w:rsid w:val="222230CB"/>
    <w:rsid w:val="22576990"/>
    <w:rsid w:val="22A644F8"/>
    <w:rsid w:val="22F47480"/>
    <w:rsid w:val="23645B24"/>
    <w:rsid w:val="239D21D1"/>
    <w:rsid w:val="239D2C2C"/>
    <w:rsid w:val="23DE1C48"/>
    <w:rsid w:val="240210CD"/>
    <w:rsid w:val="24BF09F7"/>
    <w:rsid w:val="25055EC8"/>
    <w:rsid w:val="252D53FE"/>
    <w:rsid w:val="255B1EFD"/>
    <w:rsid w:val="25EC2D81"/>
    <w:rsid w:val="26621387"/>
    <w:rsid w:val="26B767E3"/>
    <w:rsid w:val="277057A2"/>
    <w:rsid w:val="27EB6A7B"/>
    <w:rsid w:val="288158DA"/>
    <w:rsid w:val="29206EB8"/>
    <w:rsid w:val="29595666"/>
    <w:rsid w:val="29874881"/>
    <w:rsid w:val="29E325E0"/>
    <w:rsid w:val="2A0F4141"/>
    <w:rsid w:val="2A2618E6"/>
    <w:rsid w:val="2A452503"/>
    <w:rsid w:val="2A460191"/>
    <w:rsid w:val="2AA37D0F"/>
    <w:rsid w:val="2BA20ED3"/>
    <w:rsid w:val="2BA936A8"/>
    <w:rsid w:val="2BBD6BF5"/>
    <w:rsid w:val="2C315A5A"/>
    <w:rsid w:val="2C4B1C25"/>
    <w:rsid w:val="2C5504FB"/>
    <w:rsid w:val="2CFE66A2"/>
    <w:rsid w:val="2D536CB5"/>
    <w:rsid w:val="2D9E56F5"/>
    <w:rsid w:val="2E312AA7"/>
    <w:rsid w:val="2E667F96"/>
    <w:rsid w:val="2E8226AB"/>
    <w:rsid w:val="2ED55D3D"/>
    <w:rsid w:val="2FD065E6"/>
    <w:rsid w:val="2FD96870"/>
    <w:rsid w:val="30532960"/>
    <w:rsid w:val="30580BC9"/>
    <w:rsid w:val="30597278"/>
    <w:rsid w:val="311E2ED7"/>
    <w:rsid w:val="312C2F4C"/>
    <w:rsid w:val="315619EE"/>
    <w:rsid w:val="315C449C"/>
    <w:rsid w:val="31B82709"/>
    <w:rsid w:val="31D05482"/>
    <w:rsid w:val="31D077CC"/>
    <w:rsid w:val="32400B34"/>
    <w:rsid w:val="32531A88"/>
    <w:rsid w:val="327E220A"/>
    <w:rsid w:val="328529C5"/>
    <w:rsid w:val="329E6876"/>
    <w:rsid w:val="333015F2"/>
    <w:rsid w:val="334B6320"/>
    <w:rsid w:val="33D934D4"/>
    <w:rsid w:val="33FE2F6A"/>
    <w:rsid w:val="3406331A"/>
    <w:rsid w:val="340E07E5"/>
    <w:rsid w:val="34235BF7"/>
    <w:rsid w:val="34802092"/>
    <w:rsid w:val="358C5FA8"/>
    <w:rsid w:val="35C15DF1"/>
    <w:rsid w:val="36074A7F"/>
    <w:rsid w:val="367C373A"/>
    <w:rsid w:val="36923549"/>
    <w:rsid w:val="36B75FBF"/>
    <w:rsid w:val="36BD0C45"/>
    <w:rsid w:val="36DC514E"/>
    <w:rsid w:val="36E3422D"/>
    <w:rsid w:val="37E00298"/>
    <w:rsid w:val="38B302F9"/>
    <w:rsid w:val="38F12CD3"/>
    <w:rsid w:val="38F94775"/>
    <w:rsid w:val="392971ED"/>
    <w:rsid w:val="39325651"/>
    <w:rsid w:val="3A003A5B"/>
    <w:rsid w:val="3A496D27"/>
    <w:rsid w:val="3A872856"/>
    <w:rsid w:val="3B3763D1"/>
    <w:rsid w:val="3B3D26BA"/>
    <w:rsid w:val="3B8315E0"/>
    <w:rsid w:val="3C2F6E1E"/>
    <w:rsid w:val="3C4F64BA"/>
    <w:rsid w:val="3C6D3C52"/>
    <w:rsid w:val="3CCD3923"/>
    <w:rsid w:val="3CDA245A"/>
    <w:rsid w:val="3D1E06B7"/>
    <w:rsid w:val="3D1F239E"/>
    <w:rsid w:val="3D515972"/>
    <w:rsid w:val="3D9C173B"/>
    <w:rsid w:val="3EDA0523"/>
    <w:rsid w:val="407A6407"/>
    <w:rsid w:val="417261C3"/>
    <w:rsid w:val="4200449D"/>
    <w:rsid w:val="423A3BCC"/>
    <w:rsid w:val="424E57D2"/>
    <w:rsid w:val="42B26C49"/>
    <w:rsid w:val="42EC5ED9"/>
    <w:rsid w:val="433A6FE6"/>
    <w:rsid w:val="43480868"/>
    <w:rsid w:val="4350713C"/>
    <w:rsid w:val="436653E0"/>
    <w:rsid w:val="43AE4BF9"/>
    <w:rsid w:val="43C4431A"/>
    <w:rsid w:val="445C0B71"/>
    <w:rsid w:val="446E74EE"/>
    <w:rsid w:val="44AC700C"/>
    <w:rsid w:val="44B951CC"/>
    <w:rsid w:val="44CD14E0"/>
    <w:rsid w:val="44CE5A6E"/>
    <w:rsid w:val="44F20B0B"/>
    <w:rsid w:val="451056AF"/>
    <w:rsid w:val="452E5F4C"/>
    <w:rsid w:val="45612018"/>
    <w:rsid w:val="458946E9"/>
    <w:rsid w:val="45A47C0E"/>
    <w:rsid w:val="46577FD6"/>
    <w:rsid w:val="46D955A7"/>
    <w:rsid w:val="47133957"/>
    <w:rsid w:val="471F1EB9"/>
    <w:rsid w:val="47A07E0C"/>
    <w:rsid w:val="47A22C9A"/>
    <w:rsid w:val="484A61BF"/>
    <w:rsid w:val="4870272E"/>
    <w:rsid w:val="48E34B3E"/>
    <w:rsid w:val="49DC7715"/>
    <w:rsid w:val="4A023139"/>
    <w:rsid w:val="4A495B4E"/>
    <w:rsid w:val="4A504947"/>
    <w:rsid w:val="4A7B576F"/>
    <w:rsid w:val="4AF561A9"/>
    <w:rsid w:val="4B3F7086"/>
    <w:rsid w:val="4BEC79BB"/>
    <w:rsid w:val="4C3E5B64"/>
    <w:rsid w:val="4C4A0649"/>
    <w:rsid w:val="4C7E5ECA"/>
    <w:rsid w:val="4C876AA5"/>
    <w:rsid w:val="4C9557AE"/>
    <w:rsid w:val="4CF50597"/>
    <w:rsid w:val="4D0E00FB"/>
    <w:rsid w:val="4D176606"/>
    <w:rsid w:val="4D813B40"/>
    <w:rsid w:val="4DEC4FB0"/>
    <w:rsid w:val="4DF241BD"/>
    <w:rsid w:val="4E075D8A"/>
    <w:rsid w:val="4EC00FAD"/>
    <w:rsid w:val="4EED7129"/>
    <w:rsid w:val="4F114861"/>
    <w:rsid w:val="4F611D95"/>
    <w:rsid w:val="4F9843DC"/>
    <w:rsid w:val="4FAE632B"/>
    <w:rsid w:val="4FC62A8C"/>
    <w:rsid w:val="4FE20F0D"/>
    <w:rsid w:val="4FE51552"/>
    <w:rsid w:val="50504C4B"/>
    <w:rsid w:val="506F3DC3"/>
    <w:rsid w:val="508175D4"/>
    <w:rsid w:val="50913144"/>
    <w:rsid w:val="509727E6"/>
    <w:rsid w:val="509C6E7C"/>
    <w:rsid w:val="51493AE0"/>
    <w:rsid w:val="5162104E"/>
    <w:rsid w:val="51753E19"/>
    <w:rsid w:val="53A039CC"/>
    <w:rsid w:val="53A1505A"/>
    <w:rsid w:val="53D02297"/>
    <w:rsid w:val="53D10115"/>
    <w:rsid w:val="54063E08"/>
    <w:rsid w:val="54221116"/>
    <w:rsid w:val="543437E8"/>
    <w:rsid w:val="548260BB"/>
    <w:rsid w:val="54F73313"/>
    <w:rsid w:val="54F80955"/>
    <w:rsid w:val="5504422D"/>
    <w:rsid w:val="555170A7"/>
    <w:rsid w:val="5587536D"/>
    <w:rsid w:val="559B174B"/>
    <w:rsid w:val="55BF3C5C"/>
    <w:rsid w:val="55CE0CF4"/>
    <w:rsid w:val="56042AD6"/>
    <w:rsid w:val="561D1587"/>
    <w:rsid w:val="56310FE7"/>
    <w:rsid w:val="56AB2379"/>
    <w:rsid w:val="56B22A9C"/>
    <w:rsid w:val="57B72A76"/>
    <w:rsid w:val="57C3426C"/>
    <w:rsid w:val="57CE1F93"/>
    <w:rsid w:val="588743D1"/>
    <w:rsid w:val="5887701A"/>
    <w:rsid w:val="58C32C5F"/>
    <w:rsid w:val="59C0439F"/>
    <w:rsid w:val="5ABE2233"/>
    <w:rsid w:val="5B232C7E"/>
    <w:rsid w:val="5B7B268D"/>
    <w:rsid w:val="5BDF5D95"/>
    <w:rsid w:val="5BDF5E86"/>
    <w:rsid w:val="5BFE7528"/>
    <w:rsid w:val="5CA31276"/>
    <w:rsid w:val="5DA37967"/>
    <w:rsid w:val="5DAC3F57"/>
    <w:rsid w:val="5DDF34D2"/>
    <w:rsid w:val="5E2467F1"/>
    <w:rsid w:val="5E4502F2"/>
    <w:rsid w:val="5EA145AB"/>
    <w:rsid w:val="5EB54FF2"/>
    <w:rsid w:val="5EEA61D6"/>
    <w:rsid w:val="5F1A2B43"/>
    <w:rsid w:val="5F641DC4"/>
    <w:rsid w:val="5FB837BB"/>
    <w:rsid w:val="5FF05A6E"/>
    <w:rsid w:val="607A7DF7"/>
    <w:rsid w:val="60CC405A"/>
    <w:rsid w:val="61E215D8"/>
    <w:rsid w:val="621B3775"/>
    <w:rsid w:val="62364782"/>
    <w:rsid w:val="62911C29"/>
    <w:rsid w:val="6334767D"/>
    <w:rsid w:val="633A597E"/>
    <w:rsid w:val="6394356A"/>
    <w:rsid w:val="63AE352A"/>
    <w:rsid w:val="63C61B2C"/>
    <w:rsid w:val="63D40BE9"/>
    <w:rsid w:val="63E95C49"/>
    <w:rsid w:val="64102431"/>
    <w:rsid w:val="64727261"/>
    <w:rsid w:val="64A5243A"/>
    <w:rsid w:val="64F531DE"/>
    <w:rsid w:val="65165F77"/>
    <w:rsid w:val="65373578"/>
    <w:rsid w:val="66747602"/>
    <w:rsid w:val="671F124A"/>
    <w:rsid w:val="677958B4"/>
    <w:rsid w:val="677A33C6"/>
    <w:rsid w:val="67B93D66"/>
    <w:rsid w:val="681F6961"/>
    <w:rsid w:val="68610A2F"/>
    <w:rsid w:val="68805514"/>
    <w:rsid w:val="68905F80"/>
    <w:rsid w:val="68E3755A"/>
    <w:rsid w:val="69316E2F"/>
    <w:rsid w:val="6941299E"/>
    <w:rsid w:val="694E2071"/>
    <w:rsid w:val="69766163"/>
    <w:rsid w:val="697A3B33"/>
    <w:rsid w:val="69A00505"/>
    <w:rsid w:val="69D44760"/>
    <w:rsid w:val="6A183838"/>
    <w:rsid w:val="6A287959"/>
    <w:rsid w:val="6A356EA0"/>
    <w:rsid w:val="6A520EC7"/>
    <w:rsid w:val="6AEA3566"/>
    <w:rsid w:val="6AF87E20"/>
    <w:rsid w:val="6B30336F"/>
    <w:rsid w:val="6B322639"/>
    <w:rsid w:val="6B4C26F3"/>
    <w:rsid w:val="6B715E17"/>
    <w:rsid w:val="6BA031E4"/>
    <w:rsid w:val="6C636C38"/>
    <w:rsid w:val="6CE76DF9"/>
    <w:rsid w:val="6D587E7B"/>
    <w:rsid w:val="6DB34098"/>
    <w:rsid w:val="6DB545B6"/>
    <w:rsid w:val="6DE02FB4"/>
    <w:rsid w:val="6E514CED"/>
    <w:rsid w:val="6EB563D5"/>
    <w:rsid w:val="6ED92677"/>
    <w:rsid w:val="6F225983"/>
    <w:rsid w:val="6F2A116E"/>
    <w:rsid w:val="6FFC5590"/>
    <w:rsid w:val="706D1DD0"/>
    <w:rsid w:val="70713A5C"/>
    <w:rsid w:val="70856B87"/>
    <w:rsid w:val="70D527EE"/>
    <w:rsid w:val="71134901"/>
    <w:rsid w:val="715B5300"/>
    <w:rsid w:val="71D27F8A"/>
    <w:rsid w:val="72553024"/>
    <w:rsid w:val="728B515C"/>
    <w:rsid w:val="72F216AE"/>
    <w:rsid w:val="73122968"/>
    <w:rsid w:val="731F5D5E"/>
    <w:rsid w:val="731F693F"/>
    <w:rsid w:val="73C51AD5"/>
    <w:rsid w:val="73F538BC"/>
    <w:rsid w:val="741E793C"/>
    <w:rsid w:val="745E3944"/>
    <w:rsid w:val="74B473C3"/>
    <w:rsid w:val="752E1C16"/>
    <w:rsid w:val="7595796D"/>
    <w:rsid w:val="759F78C3"/>
    <w:rsid w:val="76086F57"/>
    <w:rsid w:val="7635099D"/>
    <w:rsid w:val="76AE4262"/>
    <w:rsid w:val="77005EAE"/>
    <w:rsid w:val="775931AC"/>
    <w:rsid w:val="77636B63"/>
    <w:rsid w:val="77762421"/>
    <w:rsid w:val="77B56B1F"/>
    <w:rsid w:val="780F09F4"/>
    <w:rsid w:val="78A90480"/>
    <w:rsid w:val="79155CAE"/>
    <w:rsid w:val="7A016209"/>
    <w:rsid w:val="7A364017"/>
    <w:rsid w:val="7A8265E1"/>
    <w:rsid w:val="7AA562D4"/>
    <w:rsid w:val="7AAD1DFD"/>
    <w:rsid w:val="7AC26606"/>
    <w:rsid w:val="7B3F1BE1"/>
    <w:rsid w:val="7B686D42"/>
    <w:rsid w:val="7B841746"/>
    <w:rsid w:val="7C2070C3"/>
    <w:rsid w:val="7C6C5AC7"/>
    <w:rsid w:val="7CC6544B"/>
    <w:rsid w:val="7CFA4EEE"/>
    <w:rsid w:val="7D0239FF"/>
    <w:rsid w:val="7D0D6897"/>
    <w:rsid w:val="7D5E40CD"/>
    <w:rsid w:val="7D9E2A59"/>
    <w:rsid w:val="7DA00CCA"/>
    <w:rsid w:val="7DCD56F2"/>
    <w:rsid w:val="7DEB6A33"/>
    <w:rsid w:val="7E405F28"/>
    <w:rsid w:val="7ECF0375"/>
    <w:rsid w:val="7F001CE7"/>
    <w:rsid w:val="7F005876"/>
    <w:rsid w:val="7F1459B8"/>
    <w:rsid w:val="7F4B7F10"/>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b/>
      <w:bCs/>
      <w:kern w:val="0"/>
      <w:sz w:val="36"/>
      <w:szCs w:val="36"/>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keepNext/>
      <w:keepLines/>
      <w:tabs>
        <w:tab w:val="left" w:pos="993"/>
        <w:tab w:val="left" w:pos="8497"/>
      </w:tabs>
      <w:spacing w:line="372" w:lineRule="auto"/>
      <w:outlineLvl w:val="3"/>
    </w:pPr>
    <w:rPr>
      <w:rFonts w:ascii="Arial" w:hAnsi="Arial" w:eastAsia="黑体"/>
      <w:sz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Layout w:type="fixed"/>
      <w:tblCellMar>
        <w:top w:w="0" w:type="dxa"/>
        <w:left w:w="108" w:type="dxa"/>
        <w:bottom w:w="0" w:type="dxa"/>
        <w:right w:w="108" w:type="dxa"/>
      </w:tblCellMar>
    </w:tblPr>
  </w:style>
  <w:style w:type="paragraph" w:styleId="6">
    <w:name w:val="table of authorities"/>
    <w:basedOn w:val="1"/>
    <w:next w:val="1"/>
    <w:qFormat/>
    <w:uiPriority w:val="0"/>
    <w:pPr>
      <w:spacing w:line="360" w:lineRule="auto"/>
      <w:ind w:left="420" w:leftChars="200" w:firstLine="640" w:firstLineChars="200"/>
    </w:pPr>
    <w:rPr>
      <w:sz w:val="24"/>
      <w:szCs w:val="24"/>
    </w:rPr>
  </w:style>
  <w:style w:type="paragraph" w:styleId="7">
    <w:name w:val="Normal Indent"/>
    <w:basedOn w:val="1"/>
    <w:unhideWhenUsed/>
    <w:qFormat/>
    <w:uiPriority w:val="0"/>
    <w:pPr>
      <w:spacing w:line="560" w:lineRule="exact"/>
      <w:ind w:firstLine="200" w:firstLineChars="200"/>
    </w:pPr>
    <w:rPr>
      <w:rFonts w:ascii="仿宋_GB2312" w:hAnsi="Calibri" w:eastAsia="仿宋_GB2312"/>
      <w:sz w:val="28"/>
      <w:szCs w:val="20"/>
    </w:rPr>
  </w:style>
  <w:style w:type="paragraph" w:styleId="8">
    <w:name w:val="caption"/>
    <w:basedOn w:val="1"/>
    <w:next w:val="9"/>
    <w:unhideWhenUsed/>
    <w:qFormat/>
    <w:uiPriority w:val="0"/>
    <w:pPr>
      <w:spacing w:line="240" w:lineRule="auto"/>
      <w:jc w:val="center"/>
    </w:pPr>
    <w:rPr>
      <w:rFonts w:ascii="Times New Roman" w:hAnsi="Times New Roman" w:eastAsia="宋体"/>
      <w:b/>
      <w:sz w:val="21"/>
    </w:rPr>
  </w:style>
  <w:style w:type="paragraph" w:customStyle="1" w:styleId="9">
    <w:name w:val="..正文格式"/>
    <w:basedOn w:val="1"/>
    <w:qFormat/>
    <w:uiPriority w:val="0"/>
    <w:pPr>
      <w:spacing w:line="500" w:lineRule="exact"/>
      <w:ind w:firstLine="480" w:firstLineChars="200"/>
    </w:pPr>
    <w:rPr>
      <w:snapToGrid w:val="0"/>
      <w:kern w:val="0"/>
    </w:rPr>
  </w:style>
  <w:style w:type="paragraph" w:styleId="10">
    <w:name w:val="annotation text"/>
    <w:basedOn w:val="1"/>
    <w:link w:val="61"/>
    <w:semiHidden/>
    <w:qFormat/>
    <w:uiPriority w:val="0"/>
    <w:pPr>
      <w:jc w:val="left"/>
    </w:pPr>
    <w:rPr>
      <w:kern w:val="0"/>
      <w:sz w:val="24"/>
      <w:szCs w:val="20"/>
    </w:rPr>
  </w:style>
  <w:style w:type="paragraph" w:styleId="11">
    <w:name w:val="Salutation"/>
    <w:basedOn w:val="1"/>
    <w:next w:val="1"/>
    <w:unhideWhenUsed/>
    <w:qFormat/>
    <w:uiPriority w:val="0"/>
    <w:rPr>
      <w:b/>
      <w:sz w:val="36"/>
      <w:szCs w:val="36"/>
    </w:rPr>
  </w:style>
  <w:style w:type="paragraph" w:styleId="12">
    <w:name w:val="Body Text"/>
    <w:basedOn w:val="1"/>
    <w:next w:val="13"/>
    <w:link w:val="60"/>
    <w:qFormat/>
    <w:uiPriority w:val="0"/>
    <w:pPr>
      <w:widowControl/>
      <w:snapToGrid w:val="0"/>
      <w:spacing w:before="60" w:after="160" w:line="259" w:lineRule="auto"/>
      <w:ind w:right="113"/>
    </w:pPr>
    <w:rPr>
      <w:kern w:val="0"/>
      <w:sz w:val="18"/>
      <w:szCs w:val="20"/>
    </w:rPr>
  </w:style>
  <w:style w:type="paragraph" w:styleId="13">
    <w:name w:val="Message Header"/>
    <w:basedOn w:val="1"/>
    <w:qFormat/>
    <w:uiPriority w:val="0"/>
    <w:pPr>
      <w:keepNext/>
      <w:pBdr>
        <w:top w:val="single" w:color="auto" w:sz="6" w:space="1"/>
        <w:left w:val="single" w:color="auto" w:sz="6" w:space="1"/>
        <w:bottom w:val="single" w:color="auto" w:sz="6" w:space="1"/>
        <w:right w:val="single" w:color="auto" w:sz="6" w:space="1"/>
      </w:pBdr>
      <w:shd w:val="pct20" w:color="auto" w:fill="auto"/>
      <w:spacing w:line="360" w:lineRule="auto"/>
      <w:ind w:left="1000" w:leftChars="500" w:hanging="500" w:hangingChars="500"/>
      <w:jc w:val="left"/>
    </w:pPr>
    <w:rPr>
      <w:rFonts w:ascii="Arial" w:hAnsi="Arial" w:cs="Arial"/>
      <w:color w:val="000000"/>
      <w:sz w:val="24"/>
    </w:rPr>
  </w:style>
  <w:style w:type="paragraph" w:styleId="14">
    <w:name w:val="Body Text Indent"/>
    <w:basedOn w:val="1"/>
    <w:next w:val="15"/>
    <w:link w:val="69"/>
    <w:qFormat/>
    <w:uiPriority w:val="0"/>
    <w:pPr>
      <w:spacing w:after="120"/>
      <w:ind w:left="420" w:leftChars="200"/>
    </w:pPr>
    <w:rPr>
      <w:kern w:val="0"/>
      <w:sz w:val="24"/>
      <w:szCs w:val="20"/>
    </w:rPr>
  </w:style>
  <w:style w:type="paragraph" w:styleId="15">
    <w:name w:val="header"/>
    <w:basedOn w:val="1"/>
    <w:next w:val="16"/>
    <w:link w:val="67"/>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6">
    <w:name w:val="样式5"/>
    <w:basedOn w:val="17"/>
    <w:next w:val="1"/>
    <w:qFormat/>
    <w:uiPriority w:val="0"/>
    <w:pPr>
      <w:spacing w:before="100" w:beforeAutospacing="1" w:after="100" w:afterAutospacing="1" w:line="360" w:lineRule="auto"/>
    </w:pPr>
    <w:rPr>
      <w:rFonts w:ascii="Times New Roman" w:hAnsi="Times New Roman"/>
      <w:sz w:val="24"/>
      <w:szCs w:val="24"/>
    </w:rPr>
  </w:style>
  <w:style w:type="paragraph" w:customStyle="1" w:styleId="17">
    <w:name w:val="正文1"/>
    <w:next w:val="1"/>
    <w:qFormat/>
    <w:uiPriority w:val="0"/>
    <w:pPr>
      <w:widowControl w:val="0"/>
      <w:adjustRightInd w:val="0"/>
      <w:spacing w:line="360" w:lineRule="atLeast"/>
      <w:textAlignment w:val="baseline"/>
    </w:pPr>
    <w:rPr>
      <w:rFonts w:ascii="宋体" w:hAnsi="Times New Roman" w:eastAsia="宋体" w:cs="Times New Roman"/>
      <w:sz w:val="24"/>
      <w:szCs w:val="22"/>
      <w:lang w:val="en-US" w:eastAsia="zh-CN" w:bidi="ar-SA"/>
    </w:rPr>
  </w:style>
  <w:style w:type="paragraph" w:styleId="18">
    <w:name w:val="Plain Text"/>
    <w:basedOn w:val="1"/>
    <w:link w:val="82"/>
    <w:unhideWhenUsed/>
    <w:qFormat/>
    <w:uiPriority w:val="0"/>
    <w:rPr>
      <w:rFonts w:ascii="宋体" w:hAnsi="Courier New"/>
      <w:kern w:val="0"/>
      <w:sz w:val="20"/>
      <w:szCs w:val="21"/>
    </w:rPr>
  </w:style>
  <w:style w:type="paragraph" w:styleId="19">
    <w:name w:val="List Bullet 5"/>
    <w:basedOn w:val="1"/>
    <w:qFormat/>
    <w:uiPriority w:val="0"/>
    <w:pPr>
      <w:numPr>
        <w:ilvl w:val="0"/>
        <w:numId w:val="1"/>
      </w:numPr>
    </w:pPr>
  </w:style>
  <w:style w:type="paragraph" w:styleId="20">
    <w:name w:val="Date"/>
    <w:basedOn w:val="1"/>
    <w:next w:val="1"/>
    <w:link w:val="56"/>
    <w:qFormat/>
    <w:uiPriority w:val="0"/>
    <w:pPr>
      <w:ind w:left="100" w:leftChars="2500"/>
    </w:pPr>
    <w:rPr>
      <w:kern w:val="0"/>
      <w:sz w:val="24"/>
      <w:szCs w:val="20"/>
    </w:rPr>
  </w:style>
  <w:style w:type="paragraph" w:styleId="21">
    <w:name w:val="Body Text Indent 2"/>
    <w:basedOn w:val="1"/>
    <w:next w:val="1"/>
    <w:link w:val="93"/>
    <w:qFormat/>
    <w:uiPriority w:val="0"/>
    <w:pPr>
      <w:spacing w:after="120" w:line="480" w:lineRule="auto"/>
      <w:ind w:left="420" w:leftChars="200"/>
    </w:pPr>
  </w:style>
  <w:style w:type="paragraph" w:styleId="22">
    <w:name w:val="Balloon Text"/>
    <w:basedOn w:val="1"/>
    <w:link w:val="65"/>
    <w:semiHidden/>
    <w:qFormat/>
    <w:uiPriority w:val="0"/>
    <w:rPr>
      <w:kern w:val="0"/>
      <w:sz w:val="18"/>
      <w:szCs w:val="20"/>
    </w:rPr>
  </w:style>
  <w:style w:type="paragraph" w:styleId="23">
    <w:name w:val="footer"/>
    <w:basedOn w:val="1"/>
    <w:link w:val="55"/>
    <w:qFormat/>
    <w:uiPriority w:val="99"/>
    <w:pPr>
      <w:tabs>
        <w:tab w:val="center" w:pos="4153"/>
        <w:tab w:val="right" w:pos="8306"/>
      </w:tabs>
      <w:snapToGrid w:val="0"/>
      <w:jc w:val="left"/>
    </w:pPr>
    <w:rPr>
      <w:kern w:val="0"/>
      <w:sz w:val="18"/>
      <w:szCs w:val="20"/>
    </w:rPr>
  </w:style>
  <w:style w:type="paragraph" w:styleId="24">
    <w:name w:val="toc 1"/>
    <w:basedOn w:val="1"/>
    <w:next w:val="1"/>
    <w:qFormat/>
    <w:uiPriority w:val="39"/>
    <w:pPr>
      <w:spacing w:before="120" w:after="120"/>
      <w:jc w:val="left"/>
    </w:pPr>
    <w:rPr>
      <w:rFonts w:ascii="等线" w:eastAsia="等线"/>
      <w:b/>
      <w:bCs/>
      <w:caps/>
      <w:sz w:val="20"/>
      <w:szCs w:val="20"/>
    </w:rPr>
  </w:style>
  <w:style w:type="paragraph" w:styleId="25">
    <w:name w:val="List"/>
    <w:basedOn w:val="1"/>
    <w:next w:val="1"/>
    <w:qFormat/>
    <w:uiPriority w:val="0"/>
    <w:pPr>
      <w:ind w:left="200" w:hanging="200" w:hangingChars="200"/>
    </w:pPr>
  </w:style>
  <w:style w:type="paragraph" w:styleId="26">
    <w:name w:val="table of figures"/>
    <w:basedOn w:val="1"/>
    <w:next w:val="1"/>
    <w:qFormat/>
    <w:uiPriority w:val="0"/>
    <w:pPr>
      <w:autoSpaceDE w:val="0"/>
      <w:autoSpaceDN w:val="0"/>
      <w:spacing w:line="360" w:lineRule="auto"/>
      <w:ind w:left="200" w:leftChars="200" w:hanging="200" w:hangingChars="200"/>
    </w:pPr>
    <w:rPr>
      <w:sz w:val="28"/>
      <w:szCs w:val="20"/>
    </w:rPr>
  </w:style>
  <w:style w:type="paragraph" w:styleId="27">
    <w:name w:val="toc 2"/>
    <w:basedOn w:val="1"/>
    <w:next w:val="1"/>
    <w:qFormat/>
    <w:uiPriority w:val="0"/>
    <w:pPr>
      <w:ind w:left="420" w:leftChars="200"/>
    </w:pPr>
    <w:rPr>
      <w:sz w:val="24"/>
    </w:rPr>
  </w:style>
  <w:style w:type="paragraph" w:styleId="28">
    <w:name w:val="Normal (Web)"/>
    <w:basedOn w:val="1"/>
    <w:link w:val="58"/>
    <w:qFormat/>
    <w:uiPriority w:val="0"/>
    <w:pPr>
      <w:widowControl/>
      <w:spacing w:before="100" w:beforeAutospacing="1" w:after="100" w:afterAutospacing="1"/>
      <w:jc w:val="left"/>
    </w:pPr>
    <w:rPr>
      <w:rFonts w:ascii="宋体" w:hAnsi="宋体"/>
      <w:kern w:val="0"/>
      <w:sz w:val="24"/>
      <w:szCs w:val="20"/>
    </w:rPr>
  </w:style>
  <w:style w:type="paragraph" w:styleId="29">
    <w:name w:val="annotation subject"/>
    <w:basedOn w:val="10"/>
    <w:next w:val="10"/>
    <w:link w:val="66"/>
    <w:semiHidden/>
    <w:qFormat/>
    <w:uiPriority w:val="0"/>
    <w:rPr>
      <w:b/>
    </w:rPr>
  </w:style>
  <w:style w:type="paragraph" w:styleId="30">
    <w:name w:val="Body Text First Indent"/>
    <w:basedOn w:val="12"/>
    <w:next w:val="1"/>
    <w:link w:val="94"/>
    <w:qFormat/>
    <w:uiPriority w:val="99"/>
    <w:pPr>
      <w:widowControl w:val="0"/>
      <w:snapToGrid/>
      <w:spacing w:before="0" w:after="120" w:line="240" w:lineRule="auto"/>
      <w:ind w:right="0" w:firstLine="420" w:firstLineChars="100"/>
    </w:pPr>
    <w:rPr>
      <w:kern w:val="2"/>
      <w:sz w:val="21"/>
      <w:szCs w:val="24"/>
    </w:rPr>
  </w:style>
  <w:style w:type="paragraph" w:styleId="31">
    <w:name w:val="Body Text First Indent 2"/>
    <w:basedOn w:val="14"/>
    <w:next w:val="1"/>
    <w:link w:val="96"/>
    <w:unhideWhenUsed/>
    <w:qFormat/>
    <w:uiPriority w:val="99"/>
    <w:pPr>
      <w:ind w:firstLine="420" w:firstLineChars="200"/>
    </w:pPr>
    <w:rPr>
      <w:rFonts w:ascii="Calibri" w:hAnsi="Calibri"/>
      <w:kern w:val="2"/>
      <w:sz w:val="21"/>
      <w:szCs w:val="22"/>
    </w:r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5">
    <w:name w:val="Strong"/>
    <w:basedOn w:val="34"/>
    <w:qFormat/>
    <w:uiPriority w:val="0"/>
    <w:rPr>
      <w:b/>
    </w:rPr>
  </w:style>
  <w:style w:type="character" w:styleId="36">
    <w:name w:val="page number"/>
    <w:basedOn w:val="34"/>
    <w:qFormat/>
    <w:uiPriority w:val="0"/>
  </w:style>
  <w:style w:type="character" w:styleId="37">
    <w:name w:val="FollowedHyperlink"/>
    <w:basedOn w:val="34"/>
    <w:qFormat/>
    <w:uiPriority w:val="0"/>
    <w:rPr>
      <w:color w:val="000000"/>
      <w:u w:val="none"/>
    </w:rPr>
  </w:style>
  <w:style w:type="character" w:styleId="38">
    <w:name w:val="Emphasis"/>
    <w:basedOn w:val="34"/>
    <w:qFormat/>
    <w:uiPriority w:val="0"/>
  </w:style>
  <w:style w:type="character" w:styleId="39">
    <w:name w:val="Hyperlink"/>
    <w:basedOn w:val="34"/>
    <w:qFormat/>
    <w:uiPriority w:val="0"/>
    <w:rPr>
      <w:color w:val="000000"/>
      <w:u w:val="none"/>
    </w:rPr>
  </w:style>
  <w:style w:type="character" w:styleId="40">
    <w:name w:val="annotation reference"/>
    <w:semiHidden/>
    <w:qFormat/>
    <w:uiPriority w:val="0"/>
    <w:rPr>
      <w:sz w:val="21"/>
    </w:rPr>
  </w:style>
  <w:style w:type="paragraph" w:customStyle="1" w:styleId="41">
    <w:name w:val="列出段落1"/>
    <w:basedOn w:val="1"/>
    <w:qFormat/>
    <w:uiPriority w:val="34"/>
    <w:pPr>
      <w:ind w:firstLine="420" w:firstLineChars="200"/>
    </w:pPr>
    <w:rPr>
      <w:rFonts w:ascii="Times New Roman" w:hAnsi="Times New Roman" w:cs="Times New Roman"/>
      <w:szCs w:val="20"/>
    </w:rPr>
  </w:style>
  <w:style w:type="paragraph" w:customStyle="1" w:styleId="42">
    <w:name w:val="Normal (Web)1"/>
    <w:basedOn w:val="1"/>
    <w:next w:val="43"/>
    <w:qFormat/>
    <w:uiPriority w:val="0"/>
    <w:pPr>
      <w:widowControl/>
    </w:pPr>
    <w:rPr>
      <w:rFonts w:ascii="宋体"/>
      <w:sz w:val="24"/>
      <w:szCs w:val="21"/>
    </w:rPr>
  </w:style>
  <w:style w:type="paragraph" w:customStyle="1" w:styleId="43">
    <w:name w:val="Date1"/>
    <w:basedOn w:val="1"/>
    <w:next w:val="1"/>
    <w:qFormat/>
    <w:uiPriority w:val="0"/>
    <w:pPr>
      <w:autoSpaceDE w:val="0"/>
      <w:autoSpaceDN w:val="0"/>
      <w:adjustRightInd w:val="0"/>
      <w:textAlignment w:val="baseline"/>
    </w:pPr>
    <w:rPr>
      <w:rFonts w:ascii="宋体"/>
      <w:spacing w:val="5"/>
      <w:kern w:val="0"/>
      <w:sz w:val="24"/>
      <w:szCs w:val="20"/>
    </w:rPr>
  </w:style>
  <w:style w:type="paragraph" w:customStyle="1" w:styleId="44">
    <w:name w:val="样式 标题 3 + 无下划线"/>
    <w:basedOn w:val="4"/>
    <w:qFormat/>
    <w:uiPriority w:val="0"/>
    <w:pPr>
      <w:keepNext w:val="0"/>
      <w:keepLines w:val="0"/>
      <w:tabs>
        <w:tab w:val="left" w:pos="993"/>
        <w:tab w:val="left" w:pos="8497"/>
      </w:tabs>
      <w:kinsoku w:val="0"/>
      <w:ind w:left="993"/>
    </w:pPr>
    <w:rPr>
      <w:snapToGrid w:val="0"/>
      <w:color w:val="000000"/>
      <w:kern w:val="0"/>
      <w:sz w:val="28"/>
      <w:szCs w:val="28"/>
    </w:rPr>
  </w:style>
  <w:style w:type="paragraph" w:customStyle="1" w:styleId="45">
    <w:name w:val="样式 标题 4 + 左侧:  0 厘米 首行缩进:  0 厘米"/>
    <w:basedOn w:val="5"/>
    <w:qFormat/>
    <w:uiPriority w:val="0"/>
    <w:pPr>
      <w:tabs>
        <w:tab w:val="left" w:pos="723"/>
      </w:tabs>
    </w:pPr>
    <w:rPr>
      <w:rFonts w:cs="宋体"/>
      <w:szCs w:val="20"/>
    </w:rPr>
  </w:style>
  <w:style w:type="paragraph" w:customStyle="1" w:styleId="46">
    <w:name w:val="Default"/>
    <w:basedOn w:val="47"/>
    <w:next w:val="25"/>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47">
    <w:name w:val="纯文本1"/>
    <w:basedOn w:val="1"/>
    <w:qFormat/>
    <w:uiPriority w:val="0"/>
    <w:pPr>
      <w:adjustRightInd w:val="0"/>
    </w:pPr>
    <w:rPr>
      <w:rFonts w:ascii="宋体" w:hAnsi="Courier New"/>
      <w:szCs w:val="20"/>
    </w:rPr>
  </w:style>
  <w:style w:type="paragraph" w:customStyle="1" w:styleId="4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9">
    <w:name w:val="_Style 4"/>
    <w:link w:val="167"/>
    <w:qFormat/>
    <w:uiPriority w:val="0"/>
    <w:pPr>
      <w:widowControl w:val="0"/>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50">
    <w:name w:val="样式 正文文本缩进 + 行距: 1.5 倍行距"/>
    <w:basedOn w:val="14"/>
    <w:qFormat/>
    <w:uiPriority w:val="0"/>
    <w:pPr>
      <w:spacing w:after="120"/>
      <w:ind w:left="90" w:leftChars="32" w:firstLine="560" w:firstLineChars="200"/>
    </w:pPr>
    <w:rPr>
      <w:rFonts w:cs="宋体"/>
    </w:rPr>
  </w:style>
  <w:style w:type="paragraph" w:customStyle="1" w:styleId="51">
    <w:name w:val="baby-正文"/>
    <w:basedOn w:val="12"/>
    <w:next w:val="22"/>
    <w:qFormat/>
    <w:uiPriority w:val="0"/>
    <w:pPr>
      <w:spacing w:after="120"/>
    </w:pPr>
    <w:rPr>
      <w:rFonts w:ascii="仿宋_GB2312"/>
      <w:bCs/>
      <w:sz w:val="30"/>
    </w:rPr>
  </w:style>
  <w:style w:type="paragraph" w:customStyle="1" w:styleId="52">
    <w:name w:val="xl27"/>
    <w:basedOn w:val="1"/>
    <w:qFormat/>
    <w:uiPriority w:val="99"/>
    <w:pPr>
      <w:widowControl/>
      <w:pBdr>
        <w:top w:val="single" w:color="auto" w:sz="8" w:space="0"/>
        <w:left w:val="single" w:color="auto" w:sz="8" w:space="0"/>
        <w:right w:val="single" w:color="auto" w:sz="8" w:space="0"/>
      </w:pBdr>
      <w:spacing w:before="100" w:beforeAutospacing="1" w:after="100" w:afterAutospacing="1"/>
      <w:jc w:val="center"/>
    </w:pPr>
    <w:rPr>
      <w:rFonts w:ascii="Arial Unicode MS" w:hAnsi="Arial Unicode MS" w:eastAsia="Arial Unicode MS"/>
      <w:sz w:val="22"/>
      <w:szCs w:val="22"/>
    </w:rPr>
  </w:style>
  <w:style w:type="paragraph" w:customStyle="1" w:styleId="53">
    <w:name w:val="11111"/>
    <w:basedOn w:val="1"/>
    <w:next w:val="1"/>
    <w:qFormat/>
    <w:uiPriority w:val="0"/>
    <w:pPr>
      <w:spacing w:line="360" w:lineRule="auto"/>
      <w:ind w:firstLine="200" w:firstLineChars="200"/>
    </w:pPr>
    <w:rPr>
      <w:rFonts w:ascii="宋体" w:hAnsi="宋体" w:cs="宋体"/>
      <w:sz w:val="24"/>
    </w:rPr>
  </w:style>
  <w:style w:type="paragraph" w:customStyle="1" w:styleId="54">
    <w:name w:val="样式 正文首行缩进 + 首行缩进:  2 字符1"/>
    <w:basedOn w:val="1"/>
    <w:next w:val="24"/>
    <w:qFormat/>
    <w:uiPriority w:val="0"/>
    <w:pPr>
      <w:spacing w:line="360" w:lineRule="auto"/>
      <w:ind w:firstLine="480" w:firstLineChars="200"/>
    </w:pPr>
    <w:rPr>
      <w:sz w:val="24"/>
      <w:szCs w:val="20"/>
    </w:rPr>
  </w:style>
  <w:style w:type="character" w:customStyle="1" w:styleId="55">
    <w:name w:val="页脚 Char"/>
    <w:link w:val="23"/>
    <w:qFormat/>
    <w:uiPriority w:val="99"/>
    <w:rPr>
      <w:sz w:val="18"/>
    </w:rPr>
  </w:style>
  <w:style w:type="character" w:customStyle="1" w:styleId="56">
    <w:name w:val="日期 Char"/>
    <w:link w:val="20"/>
    <w:qFormat/>
    <w:uiPriority w:val="0"/>
    <w:rPr>
      <w:rFonts w:ascii="Times New Roman" w:hAnsi="Times New Roman" w:eastAsia="宋体"/>
      <w:sz w:val="24"/>
    </w:rPr>
  </w:style>
  <w:style w:type="character" w:customStyle="1" w:styleId="57">
    <w:name w:val="页脚 字符"/>
    <w:basedOn w:val="34"/>
    <w:qFormat/>
    <w:uiPriority w:val="99"/>
  </w:style>
  <w:style w:type="character" w:customStyle="1" w:styleId="58">
    <w:name w:val="普通(网站) Char"/>
    <w:link w:val="28"/>
    <w:qFormat/>
    <w:uiPriority w:val="0"/>
    <w:rPr>
      <w:rFonts w:ascii="宋体" w:hAnsi="宋体" w:eastAsia="宋体"/>
      <w:sz w:val="24"/>
    </w:rPr>
  </w:style>
  <w:style w:type="character" w:customStyle="1" w:styleId="59">
    <w:name w:val="正文文本 字符1"/>
    <w:semiHidden/>
    <w:qFormat/>
    <w:uiPriority w:val="0"/>
    <w:rPr>
      <w:rFonts w:ascii="Times New Roman" w:hAnsi="Times New Roman" w:eastAsia="宋体"/>
      <w:sz w:val="24"/>
    </w:rPr>
  </w:style>
  <w:style w:type="character" w:customStyle="1" w:styleId="60">
    <w:name w:val="正文文本 Char"/>
    <w:link w:val="12"/>
    <w:qFormat/>
    <w:uiPriority w:val="0"/>
    <w:rPr>
      <w:sz w:val="18"/>
    </w:rPr>
  </w:style>
  <w:style w:type="character" w:customStyle="1" w:styleId="61">
    <w:name w:val="批注文字 Char"/>
    <w:link w:val="10"/>
    <w:qFormat/>
    <w:uiPriority w:val="0"/>
    <w:rPr>
      <w:rFonts w:ascii="Times New Roman" w:hAnsi="Times New Roman" w:eastAsia="宋体"/>
      <w:sz w:val="24"/>
    </w:rPr>
  </w:style>
  <w:style w:type="character" w:customStyle="1" w:styleId="62">
    <w:name w:val="表格 Char"/>
    <w:link w:val="63"/>
    <w:qFormat/>
    <w:uiPriority w:val="0"/>
    <w:rPr>
      <w:rFonts w:ascii="宋体"/>
      <w:sz w:val="21"/>
    </w:rPr>
  </w:style>
  <w:style w:type="paragraph" w:customStyle="1" w:styleId="63">
    <w:name w:val="表格"/>
    <w:basedOn w:val="18"/>
    <w:next w:val="1"/>
    <w:link w:val="62"/>
    <w:qFormat/>
    <w:uiPriority w:val="0"/>
    <w:pPr>
      <w:adjustRightInd w:val="0"/>
      <w:snapToGrid w:val="0"/>
      <w:spacing w:beforeLines="10" w:afterLines="10" w:line="259" w:lineRule="auto"/>
      <w:jc w:val="center"/>
    </w:pPr>
    <w:rPr>
      <w:rFonts w:ascii="宋体"/>
      <w:kern w:val="0"/>
      <w:szCs w:val="20"/>
    </w:rPr>
  </w:style>
  <w:style w:type="character" w:customStyle="1" w:styleId="64">
    <w:name w:val="日期 字符"/>
    <w:semiHidden/>
    <w:qFormat/>
    <w:uiPriority w:val="0"/>
    <w:rPr>
      <w:rFonts w:ascii="Times New Roman" w:hAnsi="Times New Roman" w:eastAsia="宋体"/>
      <w:sz w:val="24"/>
    </w:rPr>
  </w:style>
  <w:style w:type="character" w:customStyle="1" w:styleId="65">
    <w:name w:val="批注框文本 Char"/>
    <w:link w:val="22"/>
    <w:semiHidden/>
    <w:qFormat/>
    <w:uiPriority w:val="0"/>
    <w:rPr>
      <w:rFonts w:ascii="Times New Roman" w:hAnsi="Times New Roman" w:eastAsia="宋体"/>
      <w:sz w:val="18"/>
    </w:rPr>
  </w:style>
  <w:style w:type="character" w:customStyle="1" w:styleId="66">
    <w:name w:val="批注主题 Char"/>
    <w:link w:val="29"/>
    <w:semiHidden/>
    <w:qFormat/>
    <w:uiPriority w:val="0"/>
    <w:rPr>
      <w:rFonts w:ascii="Times New Roman" w:hAnsi="Times New Roman" w:eastAsia="宋体"/>
      <w:b/>
      <w:kern w:val="2"/>
      <w:sz w:val="24"/>
    </w:rPr>
  </w:style>
  <w:style w:type="character" w:customStyle="1" w:styleId="67">
    <w:name w:val="页眉 Char"/>
    <w:link w:val="15"/>
    <w:qFormat/>
    <w:uiPriority w:val="0"/>
    <w:rPr>
      <w:sz w:val="18"/>
    </w:rPr>
  </w:style>
  <w:style w:type="character" w:customStyle="1" w:styleId="68">
    <w:name w:val="批注文字 字符1"/>
    <w:semiHidden/>
    <w:qFormat/>
    <w:uiPriority w:val="0"/>
    <w:rPr>
      <w:rFonts w:ascii="Times New Roman" w:hAnsi="Times New Roman" w:eastAsia="宋体"/>
      <w:sz w:val="24"/>
    </w:rPr>
  </w:style>
  <w:style w:type="character" w:customStyle="1" w:styleId="69">
    <w:name w:val="正文文本缩进 Char"/>
    <w:link w:val="14"/>
    <w:semiHidden/>
    <w:qFormat/>
    <w:uiPriority w:val="0"/>
    <w:rPr>
      <w:rFonts w:ascii="Times New Roman" w:hAnsi="Times New Roman" w:eastAsia="宋体"/>
      <w:sz w:val="24"/>
    </w:rPr>
  </w:style>
  <w:style w:type="paragraph" w:customStyle="1" w:styleId="7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72">
    <w:name w:val="【表头】 Char"/>
    <w:link w:val="73"/>
    <w:qFormat/>
    <w:uiPriority w:val="0"/>
    <w:rPr>
      <w:sz w:val="21"/>
    </w:rPr>
  </w:style>
  <w:style w:type="paragraph" w:customStyle="1" w:styleId="73">
    <w:name w:val="【表头】"/>
    <w:basedOn w:val="74"/>
    <w:link w:val="72"/>
    <w:qFormat/>
    <w:uiPriority w:val="0"/>
    <w:pPr>
      <w:jc w:val="center"/>
    </w:pPr>
    <w:rPr>
      <w:kern w:val="0"/>
      <w:szCs w:val="20"/>
    </w:rPr>
  </w:style>
  <w:style w:type="paragraph" w:customStyle="1" w:styleId="74">
    <w:name w:val="0"/>
    <w:basedOn w:val="1"/>
    <w:qFormat/>
    <w:uiPriority w:val="99"/>
    <w:pPr>
      <w:widowControl/>
      <w:snapToGrid w:val="0"/>
      <w:jc w:val="left"/>
    </w:pPr>
    <w:rPr>
      <w:rFonts w:ascii="宋体"/>
      <w:kern w:val="0"/>
      <w:sz w:val="20"/>
      <w:szCs w:val="20"/>
    </w:rPr>
  </w:style>
  <w:style w:type="character" w:customStyle="1" w:styleId="75">
    <w:name w:val="【表中文字】 Char"/>
    <w:link w:val="76"/>
    <w:qFormat/>
    <w:uiPriority w:val="0"/>
    <w:rPr>
      <w:sz w:val="21"/>
    </w:rPr>
  </w:style>
  <w:style w:type="paragraph" w:customStyle="1" w:styleId="76">
    <w:name w:val="【表中文字】"/>
    <w:basedOn w:val="77"/>
    <w:link w:val="75"/>
    <w:qFormat/>
    <w:uiPriority w:val="0"/>
    <w:pPr>
      <w:jc w:val="center"/>
    </w:pPr>
    <w:rPr>
      <w:kern w:val="0"/>
      <w:szCs w:val="20"/>
    </w:rPr>
  </w:style>
  <w:style w:type="paragraph" w:customStyle="1" w:styleId="77">
    <w:name w:val=".表1-1-1内容"/>
    <w:basedOn w:val="1"/>
    <w:qFormat/>
    <w:uiPriority w:val="0"/>
    <w:pPr>
      <w:spacing w:line="300" w:lineRule="exact"/>
      <w:jc w:val="center"/>
    </w:pPr>
    <w:rPr>
      <w:kern w:val="0"/>
      <w:szCs w:val="21"/>
    </w:rPr>
  </w:style>
  <w:style w:type="character" w:customStyle="1" w:styleId="78">
    <w:name w:val="❤【表中文字】 Char"/>
    <w:qFormat/>
    <w:uiPriority w:val="0"/>
    <w:rPr>
      <w:rFonts w:ascii="Times New Roman" w:hAnsi="Times New Roman" w:eastAsia="宋体"/>
      <w:sz w:val="21"/>
    </w:rPr>
  </w:style>
  <w:style w:type="character" w:customStyle="1" w:styleId="79">
    <w:name w:val="【表中文字】宋体/新罗马/五号"/>
    <w:qFormat/>
    <w:uiPriority w:val="0"/>
    <w:rPr>
      <w:rFonts w:ascii="Times New Roman" w:hAnsi="Times New Roman" w:eastAsia="宋体"/>
      <w:kern w:val="2"/>
      <w:sz w:val="21"/>
      <w:lang w:bidi="ar-SA"/>
    </w:rPr>
  </w:style>
  <w:style w:type="character" w:customStyle="1" w:styleId="80">
    <w:name w:val="【正文】 Char"/>
    <w:qFormat/>
    <w:uiPriority w:val="0"/>
    <w:rPr>
      <w:kern w:val="2"/>
      <w:sz w:val="24"/>
      <w:szCs w:val="24"/>
    </w:rPr>
  </w:style>
  <w:style w:type="paragraph" w:customStyle="1" w:styleId="81">
    <w:name w:val="【正文】"/>
    <w:basedOn w:val="1"/>
    <w:next w:val="13"/>
    <w:link w:val="170"/>
    <w:qFormat/>
    <w:uiPriority w:val="0"/>
    <w:pPr>
      <w:spacing w:line="360" w:lineRule="auto"/>
      <w:ind w:firstLine="480" w:firstLineChars="200"/>
    </w:pPr>
    <w:rPr>
      <w:sz w:val="24"/>
    </w:rPr>
  </w:style>
  <w:style w:type="character" w:customStyle="1" w:styleId="82">
    <w:name w:val="纯文本 Char"/>
    <w:basedOn w:val="34"/>
    <w:link w:val="18"/>
    <w:qFormat/>
    <w:uiPriority w:val="0"/>
    <w:rPr>
      <w:rFonts w:ascii="宋体" w:hAnsi="Courier New"/>
      <w:szCs w:val="21"/>
    </w:rPr>
  </w:style>
  <w:style w:type="character" w:customStyle="1" w:styleId="83">
    <w:name w:val="【正文】 Char1"/>
    <w:qFormat/>
    <w:uiPriority w:val="0"/>
    <w:rPr>
      <w:kern w:val="2"/>
      <w:sz w:val="24"/>
      <w:szCs w:val="24"/>
    </w:rPr>
  </w:style>
  <w:style w:type="character" w:customStyle="1" w:styleId="84">
    <w:name w:val="【表中文字】 Char Char"/>
    <w:qFormat/>
    <w:uiPriority w:val="0"/>
    <w:rPr>
      <w:kern w:val="2"/>
      <w:sz w:val="21"/>
      <w:szCs w:val="22"/>
    </w:rPr>
  </w:style>
  <w:style w:type="paragraph" w:styleId="85">
    <w:name w:val="List Paragraph"/>
    <w:basedOn w:val="1"/>
    <w:qFormat/>
    <w:uiPriority w:val="34"/>
    <w:pPr>
      <w:ind w:firstLine="420" w:firstLineChars="200"/>
    </w:pPr>
  </w:style>
  <w:style w:type="paragraph" w:customStyle="1" w:styleId="86">
    <w:name w:val="《正文》"/>
    <w:basedOn w:val="1"/>
    <w:link w:val="87"/>
    <w:qFormat/>
    <w:uiPriority w:val="0"/>
    <w:pPr>
      <w:spacing w:line="360" w:lineRule="auto"/>
      <w:ind w:firstLine="200" w:firstLineChars="200"/>
    </w:pPr>
    <w:rPr>
      <w:sz w:val="24"/>
    </w:rPr>
  </w:style>
  <w:style w:type="character" w:customStyle="1" w:styleId="87">
    <w:name w:val="《正文》 字符"/>
    <w:link w:val="86"/>
    <w:qFormat/>
    <w:uiPriority w:val="0"/>
    <w:rPr>
      <w:kern w:val="2"/>
      <w:sz w:val="24"/>
      <w:szCs w:val="24"/>
    </w:rPr>
  </w:style>
  <w:style w:type="paragraph" w:customStyle="1" w:styleId="88">
    <w:name w:val="标题2"/>
    <w:basedOn w:val="81"/>
    <w:link w:val="89"/>
    <w:qFormat/>
    <w:uiPriority w:val="0"/>
    <w:pPr>
      <w:ind w:firstLine="0" w:firstLineChars="0"/>
      <w:outlineLvl w:val="1"/>
    </w:pPr>
    <w:rPr>
      <w:b/>
      <w:snapToGrid w:val="0"/>
    </w:rPr>
  </w:style>
  <w:style w:type="character" w:customStyle="1" w:styleId="89">
    <w:name w:val="标题2 字符"/>
    <w:link w:val="88"/>
    <w:qFormat/>
    <w:uiPriority w:val="0"/>
    <w:rPr>
      <w:b/>
      <w:snapToGrid w:val="0"/>
      <w:kern w:val="2"/>
      <w:sz w:val="24"/>
      <w:szCs w:val="24"/>
    </w:rPr>
  </w:style>
  <w:style w:type="paragraph" w:customStyle="1" w:styleId="90">
    <w:name w:val="头表头"/>
    <w:basedOn w:val="76"/>
    <w:link w:val="91"/>
    <w:qFormat/>
    <w:uiPriority w:val="0"/>
    <w:pPr>
      <w:adjustRightInd w:val="0"/>
      <w:snapToGrid w:val="0"/>
    </w:pPr>
    <w:rPr>
      <w:b/>
      <w:color w:val="000000"/>
      <w:kern w:val="2"/>
      <w:szCs w:val="22"/>
    </w:rPr>
  </w:style>
  <w:style w:type="character" w:customStyle="1" w:styleId="91">
    <w:name w:val="头表头 字符"/>
    <w:link w:val="90"/>
    <w:qFormat/>
    <w:uiPriority w:val="0"/>
    <w:rPr>
      <w:b/>
      <w:color w:val="000000"/>
      <w:kern w:val="2"/>
      <w:sz w:val="21"/>
      <w:szCs w:val="22"/>
    </w:rPr>
  </w:style>
  <w:style w:type="paragraph" w:customStyle="1" w:styleId="92">
    <w:name w:val="正文文字缩进1"/>
    <w:basedOn w:val="21"/>
    <w:qFormat/>
    <w:uiPriority w:val="0"/>
    <w:pPr>
      <w:spacing w:after="0" w:line="360" w:lineRule="auto"/>
      <w:ind w:left="0" w:leftChars="0" w:firstLine="560"/>
    </w:pPr>
    <w:rPr>
      <w:rFonts w:ascii="黑体" w:hAnsi="Arial Black" w:eastAsia="黑体"/>
      <w:b/>
      <w:bCs/>
      <w:sz w:val="28"/>
      <w:szCs w:val="20"/>
    </w:rPr>
  </w:style>
  <w:style w:type="character" w:customStyle="1" w:styleId="93">
    <w:name w:val="正文文本缩进 2 Char"/>
    <w:basedOn w:val="34"/>
    <w:link w:val="21"/>
    <w:qFormat/>
    <w:uiPriority w:val="0"/>
    <w:rPr>
      <w:kern w:val="2"/>
      <w:sz w:val="21"/>
      <w:szCs w:val="24"/>
    </w:rPr>
  </w:style>
  <w:style w:type="character" w:customStyle="1" w:styleId="94">
    <w:name w:val="正文首行缩进 Char"/>
    <w:basedOn w:val="60"/>
    <w:link w:val="30"/>
    <w:qFormat/>
    <w:uiPriority w:val="99"/>
    <w:rPr>
      <w:kern w:val="2"/>
      <w:sz w:val="21"/>
      <w:szCs w:val="24"/>
    </w:rPr>
  </w:style>
  <w:style w:type="paragraph" w:customStyle="1" w:styleId="95">
    <w:name w:val="biaoneirong"/>
    <w:basedOn w:val="1"/>
    <w:qFormat/>
    <w:uiPriority w:val="0"/>
    <w:pPr>
      <w:jc w:val="center"/>
    </w:pPr>
    <w:rPr>
      <w:rFonts w:hAnsi="宋体"/>
      <w:szCs w:val="21"/>
    </w:rPr>
  </w:style>
  <w:style w:type="character" w:customStyle="1" w:styleId="96">
    <w:name w:val="正文首行缩进 2 Char"/>
    <w:basedOn w:val="69"/>
    <w:link w:val="31"/>
    <w:qFormat/>
    <w:uiPriority w:val="99"/>
    <w:rPr>
      <w:rFonts w:ascii="Calibri" w:hAnsi="Calibri" w:eastAsia="宋体"/>
      <w:kern w:val="2"/>
      <w:sz w:val="21"/>
      <w:szCs w:val="22"/>
    </w:rPr>
  </w:style>
  <w:style w:type="character" w:customStyle="1" w:styleId="97">
    <w:name w:val="【表中文字】- 字符"/>
    <w:link w:val="98"/>
    <w:qFormat/>
    <w:uiPriority w:val="0"/>
    <w:rPr>
      <w:sz w:val="18"/>
    </w:rPr>
  </w:style>
  <w:style w:type="paragraph" w:customStyle="1" w:styleId="98">
    <w:name w:val="【表中文字】-"/>
    <w:basedOn w:val="1"/>
    <w:link w:val="97"/>
    <w:qFormat/>
    <w:uiPriority w:val="0"/>
    <w:pPr>
      <w:adjustRightInd w:val="0"/>
      <w:snapToGrid w:val="0"/>
      <w:jc w:val="center"/>
    </w:pPr>
    <w:rPr>
      <w:kern w:val="0"/>
      <w:sz w:val="18"/>
      <w:szCs w:val="20"/>
    </w:rPr>
  </w:style>
  <w:style w:type="paragraph" w:customStyle="1" w:styleId="99">
    <w:name w:val="首行缩进正文"/>
    <w:basedOn w:val="81"/>
    <w:link w:val="100"/>
    <w:qFormat/>
    <w:uiPriority w:val="0"/>
    <w:pPr>
      <w:spacing w:line="240" w:lineRule="auto"/>
      <w:ind w:firstLine="200"/>
    </w:pPr>
    <w:rPr>
      <w:rFonts w:cs="宋体"/>
      <w:color w:val="000000" w:themeColor="text1"/>
      <w:sz w:val="21"/>
      <w14:textFill>
        <w14:solidFill>
          <w14:schemeClr w14:val="tx1"/>
        </w14:solidFill>
      </w14:textFill>
    </w:rPr>
  </w:style>
  <w:style w:type="character" w:customStyle="1" w:styleId="100">
    <w:name w:val="首行缩进正文 字符"/>
    <w:basedOn w:val="80"/>
    <w:link w:val="99"/>
    <w:qFormat/>
    <w:uiPriority w:val="0"/>
    <w:rPr>
      <w:rFonts w:cs="宋体"/>
      <w:color w:val="000000" w:themeColor="text1"/>
      <w:kern w:val="2"/>
      <w:sz w:val="21"/>
      <w:szCs w:val="24"/>
      <w14:textFill>
        <w14:solidFill>
          <w14:schemeClr w14:val="tx1"/>
        </w14:solidFill>
      </w14:textFill>
    </w:rPr>
  </w:style>
  <w:style w:type="paragraph" w:customStyle="1" w:styleId="101">
    <w:name w:val="表格填充项"/>
    <w:basedOn w:val="1"/>
    <w:qFormat/>
    <w:uiPriority w:val="0"/>
    <w:pPr>
      <w:spacing w:line="240" w:lineRule="atLeast"/>
      <w:jc w:val="center"/>
    </w:pPr>
    <w:rPr>
      <w:rFonts w:ascii="宋体" w:hAnsi="宋体"/>
      <w:b/>
    </w:rPr>
  </w:style>
  <w:style w:type="paragraph" w:customStyle="1" w:styleId="102">
    <w:name w:val="表格题目"/>
    <w:basedOn w:val="1"/>
    <w:qFormat/>
    <w:uiPriority w:val="0"/>
    <w:pPr>
      <w:spacing w:line="240" w:lineRule="atLeast"/>
      <w:jc w:val="center"/>
    </w:pPr>
    <w:rPr>
      <w:rFonts w:ascii="黑体" w:hAnsi="宋体" w:eastAsia="黑体"/>
      <w:sz w:val="24"/>
    </w:rPr>
  </w:style>
  <w:style w:type="character" w:customStyle="1" w:styleId="103">
    <w:name w:val="fontstyle01"/>
    <w:qFormat/>
    <w:uiPriority w:val="0"/>
    <w:rPr>
      <w:rFonts w:hint="eastAsia" w:ascii="宋体" w:hAnsi="宋体" w:eastAsia="宋体"/>
      <w:color w:val="000000"/>
      <w:sz w:val="24"/>
      <w:szCs w:val="24"/>
    </w:rPr>
  </w:style>
  <w:style w:type="character" w:customStyle="1" w:styleId="104">
    <w:name w:val="fontstyle21"/>
    <w:qFormat/>
    <w:uiPriority w:val="0"/>
    <w:rPr>
      <w:rFonts w:hint="default" w:ascii="TimesNewRomanPS-BoldMT" w:hAnsi="TimesNewRomanPS-BoldMT"/>
      <w:b/>
      <w:bCs/>
      <w:color w:val="000000"/>
      <w:sz w:val="24"/>
      <w:szCs w:val="24"/>
    </w:rPr>
  </w:style>
  <w:style w:type="paragraph" w:customStyle="1" w:styleId="105">
    <w:name w:val="正文内容"/>
    <w:basedOn w:val="12"/>
    <w:qFormat/>
    <w:uiPriority w:val="0"/>
    <w:pPr>
      <w:ind w:firstLine="200" w:firstLineChars="200"/>
    </w:pPr>
    <w:rPr>
      <w:sz w:val="28"/>
    </w:rPr>
  </w:style>
  <w:style w:type="paragraph" w:customStyle="1" w:styleId="106">
    <w:name w:val="新正文"/>
    <w:basedOn w:val="1"/>
    <w:qFormat/>
    <w:uiPriority w:val="0"/>
    <w:pPr>
      <w:adjustRightInd w:val="0"/>
      <w:snapToGrid w:val="0"/>
      <w:spacing w:line="480" w:lineRule="exact"/>
      <w:ind w:firstLine="200" w:firstLineChars="200"/>
      <w:jc w:val="left"/>
    </w:pPr>
    <w:rPr>
      <w:rFonts w:ascii="仿宋_GB2312" w:hAnsi="宋体" w:eastAsia="仿宋_GB2312"/>
      <w:kern w:val="0"/>
      <w:sz w:val="28"/>
      <w:szCs w:val="28"/>
    </w:rPr>
  </w:style>
  <w:style w:type="paragraph" w:customStyle="1" w:styleId="107">
    <w:name w:val="cucd-0"/>
    <w:qFormat/>
    <w:uiPriority w:val="0"/>
    <w:pPr>
      <w:spacing w:line="360" w:lineRule="auto"/>
      <w:ind w:firstLine="480" w:firstLineChars="200"/>
    </w:pPr>
    <w:rPr>
      <w:rFonts w:ascii="Times New Roman" w:hAnsi="Times New Roman" w:eastAsia="宋体" w:cs="Times New Roman"/>
      <w:sz w:val="24"/>
      <w:szCs w:val="22"/>
      <w:lang w:val="en-US" w:eastAsia="zh-CN" w:bidi="ar-SA"/>
    </w:rPr>
  </w:style>
  <w:style w:type="paragraph" w:customStyle="1" w:styleId="108">
    <w:name w:val="Table Paragraph"/>
    <w:basedOn w:val="1"/>
    <w:qFormat/>
    <w:uiPriority w:val="1"/>
    <w:pPr>
      <w:jc w:val="left"/>
    </w:pPr>
    <w:rPr>
      <w:rFonts w:ascii="Calibri" w:hAnsi="Calibri"/>
      <w:kern w:val="0"/>
      <w:sz w:val="22"/>
      <w:lang w:eastAsia="en-US"/>
    </w:rPr>
  </w:style>
  <w:style w:type="paragraph" w:customStyle="1" w:styleId="109">
    <w:name w:val="表格内容"/>
    <w:basedOn w:val="110"/>
    <w:qFormat/>
    <w:uiPriority w:val="0"/>
    <w:pPr>
      <w:overflowPunct w:val="0"/>
      <w:adjustRightInd w:val="0"/>
      <w:snapToGrid w:val="0"/>
      <w:jc w:val="center"/>
      <w:textAlignment w:val="baseline"/>
    </w:pPr>
    <w:rPr>
      <w:kern w:val="0"/>
      <w:sz w:val="20"/>
      <w:szCs w:val="20"/>
    </w:rPr>
  </w:style>
  <w:style w:type="paragraph" w:customStyle="1" w:styleId="110">
    <w:name w:val="图形文字"/>
    <w:basedOn w:val="12"/>
    <w:qFormat/>
    <w:uiPriority w:val="0"/>
    <w:pPr>
      <w:adjustRightInd w:val="0"/>
      <w:snapToGrid w:val="0"/>
      <w:spacing w:line="240" w:lineRule="auto"/>
      <w:ind w:firstLine="0" w:firstLineChars="0"/>
      <w:jc w:val="center"/>
    </w:pPr>
    <w:rPr>
      <w:rFonts w:ascii="Times New Roman" w:hAnsi="Times New Roman" w:eastAsia="宋体"/>
      <w:b/>
      <w:sz w:val="24"/>
    </w:rPr>
  </w:style>
  <w:style w:type="paragraph" w:customStyle="1" w:styleId="111">
    <w:name w:val="表头和图片"/>
    <w:basedOn w:val="18"/>
    <w:next w:val="1"/>
    <w:qFormat/>
    <w:uiPriority w:val="0"/>
    <w:pPr>
      <w:spacing w:line="480" w:lineRule="exact"/>
      <w:jc w:val="center"/>
    </w:pPr>
    <w:rPr>
      <w:rFonts w:ascii="Times New Roman" w:hAnsi="Times New Roman" w:eastAsia="黑体"/>
      <w:b/>
    </w:rPr>
  </w:style>
  <w:style w:type="character" w:customStyle="1" w:styleId="112">
    <w:name w:val="font21"/>
    <w:basedOn w:val="34"/>
    <w:qFormat/>
    <w:uiPriority w:val="0"/>
    <w:rPr>
      <w:rFonts w:hint="default" w:ascii="Times New Roman" w:hAnsi="Times New Roman" w:cs="Times New Roman"/>
      <w:color w:val="000000"/>
      <w:sz w:val="18"/>
      <w:szCs w:val="18"/>
      <w:u w:val="none"/>
    </w:rPr>
  </w:style>
  <w:style w:type="character" w:customStyle="1" w:styleId="113">
    <w:name w:val="font11"/>
    <w:basedOn w:val="34"/>
    <w:qFormat/>
    <w:uiPriority w:val="0"/>
    <w:rPr>
      <w:rFonts w:hint="default" w:ascii="Times New Roman" w:hAnsi="Times New Roman" w:cs="Times New Roman"/>
      <w:color w:val="000000"/>
      <w:sz w:val="18"/>
      <w:szCs w:val="18"/>
      <w:u w:val="none"/>
    </w:rPr>
  </w:style>
  <w:style w:type="paragraph" w:customStyle="1" w:styleId="114">
    <w:name w:val="表格中文字"/>
    <w:basedOn w:val="115"/>
    <w:qFormat/>
    <w:uiPriority w:val="0"/>
    <w:pPr>
      <w:spacing w:line="360" w:lineRule="exact"/>
    </w:pPr>
    <w:rPr>
      <w:rFonts w:ascii="Times New Roman" w:hAnsi="Times New Roman"/>
      <w:szCs w:val="21"/>
    </w:rPr>
  </w:style>
  <w:style w:type="paragraph" w:customStyle="1" w:styleId="115">
    <w:name w:val="填表正文"/>
    <w:basedOn w:val="1"/>
    <w:qFormat/>
    <w:uiPriority w:val="0"/>
    <w:pPr>
      <w:adjustRightInd w:val="0"/>
      <w:snapToGrid w:val="0"/>
      <w:jc w:val="center"/>
    </w:pPr>
    <w:rPr>
      <w:rFonts w:ascii="宋体" w:hAnsi="Calibri"/>
      <w:color w:val="000000"/>
      <w:kern w:val="0"/>
      <w:szCs w:val="44"/>
    </w:rPr>
  </w:style>
  <w:style w:type="character" w:customStyle="1" w:styleId="116">
    <w:name w:val="cur"/>
    <w:basedOn w:val="34"/>
    <w:qFormat/>
    <w:uiPriority w:val="0"/>
    <w:rPr>
      <w:color w:val="FFFFFF"/>
      <w:shd w:val="clear" w:color="auto" w:fill="2F6B98"/>
    </w:rPr>
  </w:style>
  <w:style w:type="character" w:customStyle="1" w:styleId="117">
    <w:name w:val="lable"/>
    <w:basedOn w:val="34"/>
    <w:qFormat/>
    <w:uiPriority w:val="0"/>
    <w:rPr>
      <w:sz w:val="24"/>
      <w:szCs w:val="24"/>
    </w:rPr>
  </w:style>
  <w:style w:type="character" w:customStyle="1" w:styleId="118">
    <w:name w:val="radio-btn"/>
    <w:basedOn w:val="34"/>
    <w:qFormat/>
    <w:uiPriority w:val="0"/>
    <w:rPr>
      <w:sz w:val="24"/>
      <w:szCs w:val="24"/>
    </w:rPr>
  </w:style>
  <w:style w:type="character" w:customStyle="1" w:styleId="119">
    <w:name w:val="radio-btn1"/>
    <w:basedOn w:val="34"/>
    <w:qFormat/>
    <w:uiPriority w:val="0"/>
    <w:rPr>
      <w:sz w:val="21"/>
      <w:szCs w:val="21"/>
    </w:rPr>
  </w:style>
  <w:style w:type="character" w:customStyle="1" w:styleId="120">
    <w:name w:val="radio-btn2"/>
    <w:basedOn w:val="34"/>
    <w:qFormat/>
    <w:uiPriority w:val="0"/>
    <w:rPr>
      <w:sz w:val="24"/>
      <w:szCs w:val="24"/>
    </w:rPr>
  </w:style>
  <w:style w:type="character" w:customStyle="1" w:styleId="121">
    <w:name w:val="znspantitle"/>
    <w:basedOn w:val="34"/>
    <w:qFormat/>
    <w:uiPriority w:val="0"/>
    <w:rPr>
      <w:b/>
      <w:bCs/>
      <w:color w:val="333333"/>
    </w:rPr>
  </w:style>
  <w:style w:type="character" w:customStyle="1" w:styleId="122">
    <w:name w:val="lishishuju"/>
    <w:basedOn w:val="34"/>
    <w:qFormat/>
    <w:uiPriority w:val="0"/>
    <w:rPr>
      <w:b/>
      <w:bCs/>
      <w:color w:val="000052"/>
      <w:sz w:val="24"/>
      <w:szCs w:val="24"/>
      <w:bdr w:val="single" w:color="E3E3E3" w:sz="6" w:space="0"/>
    </w:rPr>
  </w:style>
  <w:style w:type="character" w:customStyle="1" w:styleId="123">
    <w:name w:val="disabled"/>
    <w:basedOn w:val="34"/>
    <w:qFormat/>
    <w:uiPriority w:val="0"/>
    <w:rPr>
      <w:vanish/>
    </w:rPr>
  </w:style>
  <w:style w:type="paragraph" w:customStyle="1" w:styleId="124">
    <w:name w:val="表文"/>
    <w:basedOn w:val="1"/>
    <w:qFormat/>
    <w:uiPriority w:val="0"/>
    <w:pPr>
      <w:tabs>
        <w:tab w:val="left" w:pos="6480"/>
      </w:tabs>
      <w:spacing w:line="360" w:lineRule="exact"/>
    </w:pPr>
    <w:rPr>
      <w:rFonts w:ascii="宋体" w:hAnsi="宋体"/>
      <w:sz w:val="24"/>
    </w:rPr>
  </w:style>
  <w:style w:type="paragraph" w:customStyle="1" w:styleId="125">
    <w:name w:val="内容"/>
    <w:basedOn w:val="1"/>
    <w:qFormat/>
    <w:uiPriority w:val="0"/>
    <w:pPr>
      <w:spacing w:beforeLines="50" w:afterLines="50"/>
      <w:ind w:firstLine="200" w:firstLineChars="200"/>
    </w:pPr>
    <w:rPr>
      <w:rFonts w:ascii="宋体"/>
      <w:color w:val="000000"/>
      <w:kern w:val="0"/>
      <w:sz w:val="24"/>
      <w:szCs w:val="20"/>
    </w:rPr>
  </w:style>
  <w:style w:type="paragraph" w:customStyle="1" w:styleId="126">
    <w:name w:val="55表名"/>
    <w:basedOn w:val="1"/>
    <w:qFormat/>
    <w:uiPriority w:val="0"/>
    <w:pPr>
      <w:spacing w:line="520" w:lineRule="exact"/>
      <w:jc w:val="center"/>
    </w:pPr>
    <w:rPr>
      <w:b/>
      <w:sz w:val="24"/>
    </w:rPr>
  </w:style>
  <w:style w:type="paragraph" w:customStyle="1" w:styleId="127">
    <w:name w:val="正文4"/>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128">
    <w:name w:val="表头"/>
    <w:basedOn w:val="25"/>
    <w:next w:val="1"/>
    <w:qFormat/>
    <w:uiPriority w:val="0"/>
    <w:rPr>
      <w:rFonts w:ascii="Times New Roman" w:hAnsi="Times New Roman" w:eastAsia="黑体" w:cs="Times New Roman"/>
    </w:rPr>
  </w:style>
  <w:style w:type="paragraph" w:customStyle="1" w:styleId="129">
    <w:name w:val="样式4"/>
    <w:basedOn w:val="1"/>
    <w:qFormat/>
    <w:uiPriority w:val="0"/>
    <w:pPr>
      <w:adjustRightInd w:val="0"/>
      <w:snapToGrid w:val="0"/>
      <w:jc w:val="center"/>
    </w:pPr>
    <w:rPr>
      <w:rFonts w:ascii="Times New Roman" w:hAnsi="Times New Roman" w:eastAsia="宋体" w:cs="Times New Roman"/>
      <w:sz w:val="24"/>
    </w:rPr>
  </w:style>
  <w:style w:type="paragraph" w:customStyle="1" w:styleId="130">
    <w:name w:val="报告表正文"/>
    <w:basedOn w:val="131"/>
    <w:qFormat/>
    <w:uiPriority w:val="0"/>
    <w:pPr>
      <w:adjustRightInd w:val="0"/>
      <w:spacing w:line="312" w:lineRule="auto"/>
      <w:ind w:left="113" w:right="113" w:firstLine="482"/>
      <w:jc w:val="left"/>
      <w:textAlignment w:val="baseline"/>
    </w:pPr>
    <w:rPr>
      <w:kern w:val="0"/>
      <w:sz w:val="24"/>
      <w:szCs w:val="20"/>
    </w:rPr>
  </w:style>
  <w:style w:type="paragraph" w:customStyle="1" w:styleId="131">
    <w:name w:val="CM4"/>
    <w:basedOn w:val="1"/>
    <w:next w:val="1"/>
    <w:qFormat/>
    <w:uiPriority w:val="0"/>
    <w:pPr>
      <w:keepNext/>
      <w:spacing w:line="520" w:lineRule="exact"/>
      <w:jc w:val="center"/>
    </w:pPr>
    <w:rPr>
      <w:rFonts w:ascii="Times New Roman" w:hAnsi="Times New Roman" w:eastAsia="宋体" w:cs="Times New Roman"/>
      <w:b/>
      <w:kern w:val="0"/>
      <w:szCs w:val="21"/>
    </w:rPr>
  </w:style>
  <w:style w:type="paragraph" w:customStyle="1" w:styleId="132">
    <w:name w:val="Char Char Char Char Char Char Char2"/>
    <w:basedOn w:val="1"/>
    <w:qFormat/>
    <w:uiPriority w:val="0"/>
    <w:pPr>
      <w:snapToGrid w:val="0"/>
      <w:spacing w:line="360" w:lineRule="auto"/>
      <w:ind w:firstLine="529" w:firstLineChars="200"/>
    </w:pPr>
  </w:style>
  <w:style w:type="paragraph" w:customStyle="1" w:styleId="133">
    <w:name w:val="正文缩进1"/>
    <w:basedOn w:val="1"/>
    <w:qFormat/>
    <w:uiPriority w:val="0"/>
    <w:pPr>
      <w:spacing w:line="520" w:lineRule="exact"/>
      <w:ind w:firstLine="624"/>
    </w:pPr>
    <w:rPr>
      <w:rFonts w:ascii="Times New Roman" w:hAnsi="Times New Roman" w:cs="Times New Roman"/>
      <w:sz w:val="28"/>
      <w:szCs w:val="24"/>
    </w:rPr>
  </w:style>
  <w:style w:type="paragraph" w:customStyle="1" w:styleId="134">
    <w:name w:val="表格文字"/>
    <w:basedOn w:val="12"/>
    <w:qFormat/>
    <w:uiPriority w:val="0"/>
    <w:pPr>
      <w:tabs>
        <w:tab w:val="left" w:pos="4440"/>
      </w:tabs>
      <w:spacing w:after="0" w:line="460" w:lineRule="exact"/>
      <w:jc w:val="center"/>
    </w:pPr>
    <w:rPr>
      <w:rFonts w:eastAsia="楷体_GB2312"/>
      <w:sz w:val="24"/>
      <w:szCs w:val="20"/>
    </w:rPr>
  </w:style>
  <w:style w:type="paragraph" w:customStyle="1" w:styleId="135">
    <w:name w:val="正文格式"/>
    <w:basedOn w:val="1"/>
    <w:next w:val="1"/>
    <w:qFormat/>
    <w:uiPriority w:val="0"/>
    <w:pPr>
      <w:spacing w:line="360" w:lineRule="auto"/>
      <w:ind w:firstLine="482"/>
    </w:pPr>
    <w:rPr>
      <w:sz w:val="24"/>
    </w:rPr>
  </w:style>
  <w:style w:type="paragraph" w:customStyle="1" w:styleId="136">
    <w:name w:val="Char Char Char Char Char Char Char1"/>
    <w:basedOn w:val="1"/>
    <w:qFormat/>
    <w:uiPriority w:val="0"/>
    <w:pPr>
      <w:ind w:firstLine="200"/>
    </w:pPr>
    <w:rPr>
      <w:rFonts w:ascii="宋体" w:hAnsi="宋体" w:cs="宋体"/>
    </w:rPr>
  </w:style>
  <w:style w:type="paragraph" w:customStyle="1" w:styleId="137">
    <w:name w:val="1黑体头"/>
    <w:basedOn w:val="1"/>
    <w:qFormat/>
    <w:uiPriority w:val="0"/>
    <w:pPr>
      <w:ind w:firstLine="479" w:firstLineChars="199"/>
      <w:jc w:val="left"/>
    </w:pPr>
    <w:rPr>
      <w:rFonts w:ascii="Verdana" w:hAnsi="Verdana"/>
      <w:b/>
      <w:lang w:eastAsia="en-US"/>
    </w:rPr>
  </w:style>
  <w:style w:type="paragraph" w:customStyle="1" w:styleId="138">
    <w:name w:val="表中文字"/>
    <w:basedOn w:val="1"/>
    <w:qFormat/>
    <w:uiPriority w:val="0"/>
    <w:pPr>
      <w:jc w:val="center"/>
    </w:pPr>
    <w:rPr>
      <w:szCs w:val="20"/>
    </w:rPr>
  </w:style>
  <w:style w:type="paragraph" w:customStyle="1" w:styleId="139">
    <w:name w:val="填表样式"/>
    <w:basedOn w:val="1"/>
    <w:qFormat/>
    <w:uiPriority w:val="0"/>
    <w:pPr>
      <w:adjustRightInd w:val="0"/>
      <w:snapToGrid w:val="0"/>
      <w:spacing w:line="360" w:lineRule="auto"/>
      <w:ind w:firstLine="720" w:firstLineChars="200"/>
    </w:pPr>
  </w:style>
  <w:style w:type="paragraph" w:customStyle="1" w:styleId="140">
    <w:name w:val="正文00"/>
    <w:basedOn w:val="1"/>
    <w:next w:val="141"/>
    <w:qFormat/>
    <w:uiPriority w:val="0"/>
    <w:pPr>
      <w:widowControl/>
      <w:spacing w:line="425" w:lineRule="atLeast"/>
      <w:ind w:left="107" w:leftChars="51" w:right="124" w:rightChars="59" w:firstLine="480"/>
      <w:textAlignment w:val="baseline"/>
    </w:pPr>
    <w:rPr>
      <w:kern w:val="0"/>
      <w:sz w:val="28"/>
      <w:u w:color="000000"/>
    </w:rPr>
  </w:style>
  <w:style w:type="paragraph" w:customStyle="1" w:styleId="141">
    <w:name w:val="样式 Times New Roman 五号 居中1"/>
    <w:basedOn w:val="1"/>
    <w:next w:val="128"/>
    <w:qFormat/>
    <w:uiPriority w:val="99"/>
    <w:pPr>
      <w:jc w:val="center"/>
    </w:pPr>
    <w:rPr>
      <w:rFonts w:cs="宋体"/>
      <w:szCs w:val="21"/>
    </w:rPr>
  </w:style>
  <w:style w:type="paragraph" w:customStyle="1" w:styleId="142">
    <w:name w:val="a-表名"/>
    <w:qFormat/>
    <w:uiPriority w:val="0"/>
    <w:pPr>
      <w:adjustRightInd w:val="0"/>
      <w:snapToGrid w:val="0"/>
      <w:spacing w:line="500" w:lineRule="exact"/>
      <w:jc w:val="center"/>
    </w:pPr>
    <w:rPr>
      <w:rFonts w:ascii="Times New Roman" w:hAnsi="Times New Roman" w:eastAsia="黑体" w:cs="Times New Roman"/>
      <w:color w:val="000000"/>
      <w:sz w:val="24"/>
      <w:szCs w:val="21"/>
      <w:lang w:val="en-US" w:eastAsia="zh-CN" w:bidi="ar-SA"/>
    </w:rPr>
  </w:style>
  <w:style w:type="paragraph" w:customStyle="1" w:styleId="143">
    <w:name w:val="WPSOffice手动目录 1"/>
    <w:qFormat/>
    <w:uiPriority w:val="0"/>
    <w:pPr>
      <w:ind w:leftChars="0"/>
    </w:pPr>
    <w:rPr>
      <w:rFonts w:ascii="Times New Roman" w:hAnsi="Times New Roman" w:eastAsia="宋体" w:cs="Times New Roman"/>
      <w:sz w:val="20"/>
      <w:szCs w:val="20"/>
    </w:rPr>
  </w:style>
  <w:style w:type="paragraph" w:customStyle="1" w:styleId="144">
    <w:name w:val="我的正文"/>
    <w:basedOn w:val="1"/>
    <w:qFormat/>
    <w:uiPriority w:val="0"/>
    <w:pPr>
      <w:adjustRightInd w:val="0"/>
      <w:snapToGrid w:val="0"/>
      <w:spacing w:line="480" w:lineRule="exact"/>
      <w:ind w:firstLine="720" w:firstLineChars="200"/>
      <w:jc w:val="left"/>
    </w:pPr>
    <w:rPr>
      <w:rFonts w:ascii="Times New Roman" w:hAnsi="Times New Roman" w:eastAsia="宋体" w:cs="宋体"/>
      <w:bCs/>
      <w:szCs w:val="21"/>
    </w:rPr>
  </w:style>
  <w:style w:type="paragraph" w:customStyle="1" w:styleId="145">
    <w:name w:val="a正文"/>
    <w:basedOn w:val="135"/>
    <w:link w:val="153"/>
    <w:qFormat/>
    <w:uiPriority w:val="0"/>
    <w:pPr>
      <w:spacing w:line="520" w:lineRule="exact"/>
      <w:ind w:firstLine="200"/>
    </w:pPr>
    <w:rPr>
      <w:sz w:val="24"/>
    </w:rPr>
  </w:style>
  <w:style w:type="paragraph" w:customStyle="1" w:styleId="146">
    <w:name w:val="居中表格内容"/>
    <w:basedOn w:val="1"/>
    <w:qFormat/>
    <w:uiPriority w:val="0"/>
    <w:pPr>
      <w:jc w:val="center"/>
    </w:pPr>
    <w:rPr>
      <w:rFonts w:hint="eastAsia"/>
      <w:szCs w:val="20"/>
    </w:rPr>
  </w:style>
  <w:style w:type="paragraph" w:customStyle="1" w:styleId="147">
    <w:name w:val="内容列表"/>
    <w:basedOn w:val="1"/>
    <w:qFormat/>
    <w:uiPriority w:val="0"/>
    <w:pPr>
      <w:spacing w:line="480" w:lineRule="exact"/>
      <w:ind w:firstLine="480" w:firstLineChars="200"/>
    </w:pPr>
    <w:rPr>
      <w:rFonts w:ascii="宋体" w:hAnsi="宋体"/>
      <w:bCs/>
      <w:sz w:val="24"/>
    </w:rPr>
  </w:style>
  <w:style w:type="paragraph" w:customStyle="1" w:styleId="148">
    <w:name w:val="WW-纯文本"/>
    <w:basedOn w:val="1"/>
    <w:qFormat/>
    <w:uiPriority w:val="0"/>
    <w:pPr>
      <w:suppressAutoHyphens/>
      <w:spacing w:line="312" w:lineRule="atLeast"/>
      <w:textAlignment w:val="baseline"/>
    </w:pPr>
    <w:rPr>
      <w:rFonts w:ascii="宋体" w:hAnsi="宋体" w:eastAsia="楷体_GB2312" w:cs="Courier New"/>
      <w:sz w:val="21"/>
      <w:szCs w:val="21"/>
    </w:rPr>
  </w:style>
  <w:style w:type="paragraph" w:customStyle="1" w:styleId="149">
    <w:name w:val="p0"/>
    <w:basedOn w:val="1"/>
    <w:qFormat/>
    <w:uiPriority w:val="0"/>
    <w:pPr>
      <w:widowControl/>
      <w:spacing w:before="100" w:beforeAutospacing="1" w:after="100" w:afterAutospacing="1"/>
      <w:jc w:val="left"/>
    </w:pPr>
    <w:rPr>
      <w:rFonts w:ascii="宋体" w:hAnsi="宋体" w:cs="宋体"/>
      <w:kern w:val="0"/>
      <w:sz w:val="24"/>
      <w:szCs w:val="22"/>
    </w:rPr>
  </w:style>
  <w:style w:type="paragraph" w:customStyle="1" w:styleId="150">
    <w:name w:val="首行缩进表格正文"/>
    <w:basedOn w:val="1"/>
    <w:qFormat/>
    <w:uiPriority w:val="0"/>
    <w:pPr>
      <w:spacing w:line="360" w:lineRule="auto"/>
      <w:ind w:firstLine="720" w:firstLineChars="200"/>
      <w:jc w:val="left"/>
    </w:pPr>
  </w:style>
  <w:style w:type="paragraph" w:customStyle="1" w:styleId="151">
    <w:name w:val="Heading4"/>
    <w:basedOn w:val="1"/>
    <w:next w:val="1"/>
    <w:qFormat/>
    <w:uiPriority w:val="0"/>
    <w:pPr>
      <w:keepNext/>
      <w:keepLines/>
      <w:spacing w:before="280" w:after="290" w:line="372" w:lineRule="auto"/>
      <w:jc w:val="both"/>
      <w:textAlignment w:val="baseline"/>
    </w:pPr>
    <w:rPr>
      <w:rFonts w:ascii="Arial" w:hAnsi="Arial" w:eastAsia="黑体"/>
      <w:b/>
      <w:kern w:val="2"/>
      <w:sz w:val="28"/>
      <w:szCs w:val="22"/>
      <w:lang w:val="en-US" w:eastAsia="zh-CN" w:bidi="ar-SA"/>
    </w:rPr>
  </w:style>
  <w:style w:type="paragraph" w:customStyle="1" w:styleId="152">
    <w:name w:val="环评表中文字"/>
    <w:basedOn w:val="1"/>
    <w:qFormat/>
    <w:uiPriority w:val="0"/>
    <w:pPr>
      <w:jc w:val="center"/>
    </w:pPr>
    <w:rPr>
      <w:szCs w:val="22"/>
    </w:rPr>
  </w:style>
  <w:style w:type="character" w:customStyle="1" w:styleId="153">
    <w:name w:val="a正文 Char"/>
    <w:link w:val="145"/>
    <w:qFormat/>
    <w:uiPriority w:val="0"/>
    <w:rPr>
      <w:sz w:val="24"/>
    </w:rPr>
  </w:style>
  <w:style w:type="paragraph" w:customStyle="1" w:styleId="154">
    <w:name w:val="BodyText"/>
    <w:basedOn w:val="1"/>
    <w:qFormat/>
    <w:uiPriority w:val="0"/>
    <w:pPr>
      <w:spacing w:after="120"/>
      <w:textAlignment w:val="baseline"/>
    </w:pPr>
  </w:style>
  <w:style w:type="paragraph" w:customStyle="1" w:styleId="155">
    <w:name w:val="报告书正文"/>
    <w:basedOn w:val="1"/>
    <w:qFormat/>
    <w:uiPriority w:val="0"/>
    <w:pPr>
      <w:spacing w:line="360" w:lineRule="auto"/>
      <w:ind w:firstLine="480" w:firstLineChars="200"/>
    </w:pPr>
    <w:rPr>
      <w:sz w:val="24"/>
    </w:rPr>
  </w:style>
  <w:style w:type="paragraph" w:customStyle="1" w:styleId="156">
    <w:name w:val="TOC2"/>
    <w:basedOn w:val="1"/>
    <w:next w:val="1"/>
    <w:qFormat/>
    <w:uiPriority w:val="0"/>
    <w:pPr>
      <w:widowControl/>
      <w:spacing w:after="100" w:line="276" w:lineRule="auto"/>
      <w:ind w:left="220"/>
      <w:jc w:val="left"/>
      <w:textAlignment w:val="baseline"/>
    </w:pPr>
    <w:rPr>
      <w:rFonts w:ascii="Calibri" w:hAnsi="Calibri" w:eastAsia="宋体"/>
      <w:kern w:val="0"/>
      <w:sz w:val="22"/>
      <w:szCs w:val="22"/>
      <w:lang w:val="en-US" w:eastAsia="zh-CN" w:bidi="ar-SA"/>
    </w:rPr>
  </w:style>
  <w:style w:type="paragraph" w:customStyle="1" w:styleId="157">
    <w:name w:val="图表"/>
    <w:basedOn w:val="1"/>
    <w:next w:val="63"/>
    <w:qFormat/>
    <w:uiPriority w:val="0"/>
    <w:pPr>
      <w:keepNext/>
      <w:keepLines/>
      <w:adjustRightInd w:val="0"/>
      <w:snapToGrid w:val="0"/>
      <w:ind w:firstLine="0" w:firstLineChars="0"/>
      <w:jc w:val="center"/>
      <w:outlineLvl w:val="3"/>
    </w:pPr>
    <w:rPr>
      <w:rFonts w:hint="eastAsia"/>
      <w:b/>
      <w:kern w:val="44"/>
    </w:rPr>
  </w:style>
  <w:style w:type="paragraph" w:customStyle="1" w:styleId="158">
    <w:name w:val="②JM表格 居中 仿宋"/>
    <w:basedOn w:val="159"/>
    <w:next w:val="161"/>
    <w:qFormat/>
    <w:uiPriority w:val="0"/>
    <w:pPr>
      <w:spacing w:line="240" w:lineRule="auto"/>
    </w:pPr>
    <w:rPr>
      <w:b w:val="0"/>
    </w:rPr>
  </w:style>
  <w:style w:type="paragraph" w:customStyle="1" w:styleId="159">
    <w:name w:val="②JM表格小标题 仿宋"/>
    <w:basedOn w:val="160"/>
    <w:next w:val="161"/>
    <w:qFormat/>
    <w:uiPriority w:val="0"/>
    <w:pPr>
      <w:spacing w:line="360" w:lineRule="auto"/>
    </w:pPr>
    <w:rPr>
      <w:rFonts w:eastAsia="仿宋"/>
      <w:b/>
    </w:rPr>
  </w:style>
  <w:style w:type="paragraph" w:customStyle="1" w:styleId="160">
    <w:name w:val="①JM表格 居中"/>
    <w:basedOn w:val="1"/>
    <w:next w:val="1"/>
    <w:qFormat/>
    <w:uiPriority w:val="0"/>
    <w:pPr>
      <w:spacing w:line="240" w:lineRule="auto"/>
      <w:ind w:firstLine="0" w:firstLineChars="0"/>
      <w:jc w:val="center"/>
    </w:pPr>
    <w:rPr>
      <w:rFonts w:ascii="Times New Roman" w:hAnsi="Times New Roman"/>
      <w:sz w:val="21"/>
    </w:rPr>
  </w:style>
  <w:style w:type="paragraph" w:customStyle="1" w:styleId="161">
    <w:name w:val="②JM正文"/>
    <w:basedOn w:val="162"/>
    <w:qFormat/>
    <w:uiPriority w:val="0"/>
    <w:pPr>
      <w:spacing w:line="360" w:lineRule="auto"/>
      <w:ind w:firstLine="720" w:firstLineChars="200"/>
    </w:pPr>
    <w:rPr>
      <w:rFonts w:eastAsia="宋体"/>
    </w:rPr>
  </w:style>
  <w:style w:type="paragraph" w:customStyle="1" w:styleId="162">
    <w:name w:val="②JM正文 顶格"/>
    <w:basedOn w:val="160"/>
    <w:next w:val="161"/>
    <w:qFormat/>
    <w:uiPriority w:val="0"/>
    <w:pPr>
      <w:spacing w:line="360" w:lineRule="auto"/>
      <w:jc w:val="left"/>
    </w:pPr>
    <w:rPr>
      <w:rFonts w:eastAsia="宋体"/>
    </w:rPr>
  </w:style>
  <w:style w:type="paragraph" w:customStyle="1" w:styleId="163">
    <w:name w:val="C首行缩进正文"/>
    <w:basedOn w:val="81"/>
    <w:qFormat/>
    <w:uiPriority w:val="0"/>
    <w:rPr>
      <w:sz w:val="21"/>
    </w:rPr>
  </w:style>
  <w:style w:type="paragraph" w:customStyle="1" w:styleId="164">
    <w:name w:val="环评报告表新版-正文"/>
    <w:basedOn w:val="1"/>
    <w:qFormat/>
    <w:uiPriority w:val="0"/>
    <w:pPr>
      <w:autoSpaceDE w:val="0"/>
      <w:autoSpaceDN w:val="0"/>
      <w:adjustRightInd w:val="0"/>
      <w:snapToGrid w:val="0"/>
      <w:spacing w:line="360" w:lineRule="exact"/>
      <w:ind w:firstLine="200" w:firstLineChars="200"/>
    </w:pPr>
    <w:rPr>
      <w:rFonts w:cs="宋体"/>
      <w:kern w:val="0"/>
      <w:sz w:val="24"/>
      <w:szCs w:val="21"/>
    </w:rPr>
  </w:style>
  <w:style w:type="paragraph" w:customStyle="1" w:styleId="165">
    <w:name w:val="Default1"/>
    <w:basedOn w:val="166"/>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6">
    <w:name w:val="Normal_14_0"/>
    <w:qFormat/>
    <w:uiPriority w:val="0"/>
    <w:pPr>
      <w:spacing w:before="120" w:after="240"/>
      <w:jc w:val="both"/>
    </w:pPr>
    <w:rPr>
      <w:rFonts w:ascii="Calibri" w:hAnsi="Calibri" w:eastAsia="Calibri" w:cs="Times New Roman"/>
      <w:sz w:val="22"/>
      <w:szCs w:val="22"/>
      <w:lang w:val="ru-RU" w:eastAsia="en-US" w:bidi="ar-SA"/>
    </w:rPr>
  </w:style>
  <w:style w:type="character" w:customStyle="1" w:styleId="167">
    <w:name w:val="_Style 4 Char"/>
    <w:link w:val="49"/>
    <w:qFormat/>
    <w:uiPriority w:val="0"/>
    <w:rPr>
      <w:rFonts w:ascii="Times New Roman" w:hAnsi="Times New Roman" w:eastAsia="宋体" w:cs="Times New Roman"/>
      <w:kern w:val="2"/>
      <w:sz w:val="24"/>
      <w:szCs w:val="21"/>
      <w:lang w:val="en-US" w:eastAsia="zh-CN" w:bidi="ar-SA"/>
    </w:rPr>
  </w:style>
  <w:style w:type="paragraph" w:customStyle="1" w:styleId="168">
    <w:name w:val="报告表专项情况正文"/>
    <w:qFormat/>
    <w:uiPriority w:val="0"/>
    <w:pPr>
      <w:autoSpaceDE w:val="0"/>
      <w:autoSpaceDN w:val="0"/>
      <w:adjustRightInd w:val="0"/>
      <w:snapToGrid w:val="0"/>
      <w:ind w:firstLine="720" w:firstLineChars="200"/>
      <w:jc w:val="both"/>
    </w:pPr>
    <w:rPr>
      <w:rFonts w:ascii="Times New Roman" w:hAnsi="Times New Roman" w:eastAsia="宋体" w:cs="宋体"/>
      <w:kern w:val="0"/>
      <w:sz w:val="21"/>
      <w:szCs w:val="21"/>
    </w:rPr>
  </w:style>
  <w:style w:type="paragraph" w:customStyle="1" w:styleId="169">
    <w:name w:val="正文_1"/>
    <w:qFormat/>
    <w:uiPriority w:val="0"/>
    <w:pPr>
      <w:widowControl w:val="0"/>
      <w:spacing w:line="360" w:lineRule="auto"/>
      <w:ind w:firstLine="720" w:firstLineChars="200"/>
      <w:jc w:val="both"/>
    </w:pPr>
    <w:rPr>
      <w:rFonts w:ascii="Times New Roman" w:hAnsi="Times New Roman" w:eastAsia="宋体" w:cs="Times New Roman"/>
      <w:kern w:val="2"/>
      <w:sz w:val="24"/>
      <w:szCs w:val="22"/>
      <w:lang w:val="en-US" w:eastAsia="zh-CN" w:bidi="ar-SA"/>
    </w:rPr>
  </w:style>
  <w:style w:type="character" w:customStyle="1" w:styleId="170">
    <w:name w:val="【正文】 Char Char"/>
    <w:link w:val="81"/>
    <w:qFormat/>
    <w:uiPriority w:val="0"/>
    <w:rPr>
      <w:sz w:val="24"/>
    </w:rPr>
  </w:style>
  <w:style w:type="paragraph" w:customStyle="1" w:styleId="171">
    <w:name w:val="报告书表格"/>
    <w:basedOn w:val="1"/>
    <w:qFormat/>
    <w:uiPriority w:val="0"/>
    <w:pPr>
      <w:adjustRightInd w:val="0"/>
      <w:snapToGrid w:val="0"/>
      <w:spacing w:line="400" w:lineRule="exact"/>
      <w:ind w:left="0" w:leftChars="0" w:right="0" w:rightChars="0"/>
      <w:jc w:val="center"/>
      <w:textAlignment w:val="baseline"/>
    </w:pPr>
    <w:rPr>
      <w:rFonts w:ascii="Times New Roman" w:hAnsi="Times New Roman" w:eastAsia="宋体"/>
      <w:kern w:val="0"/>
      <w:szCs w:val="20"/>
    </w:rPr>
  </w:style>
  <w:style w:type="paragraph" w:customStyle="1" w:styleId="172">
    <w:name w:val="表格体"/>
    <w:basedOn w:val="173"/>
    <w:qFormat/>
    <w:uiPriority w:val="0"/>
    <w:pPr>
      <w:jc w:val="center"/>
    </w:pPr>
    <w:rPr>
      <w:szCs w:val="22"/>
    </w:rPr>
  </w:style>
  <w:style w:type="paragraph" w:styleId="173">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74">
    <w:name w:val="报告表表格内容"/>
    <w:basedOn w:val="1"/>
    <w:qFormat/>
    <w:uiPriority w:val="0"/>
    <w:pPr>
      <w:spacing w:line="240" w:lineRule="auto"/>
      <w:ind w:firstLine="0" w:firstLineChars="0"/>
      <w:jc w:val="center"/>
    </w:pPr>
    <w:rPr>
      <w:rFonts w:ascii="Times New Roman" w:hAnsi="Times New Roman" w:eastAsia="宋体" w:cs="宋体"/>
      <w:sz w:val="21"/>
      <w:szCs w:val="21"/>
    </w:rPr>
  </w:style>
  <w:style w:type="paragraph" w:customStyle="1" w:styleId="175">
    <w:name w:val="[表中文字]"/>
    <w:basedOn w:val="1"/>
    <w:qFormat/>
    <w:uiPriority w:val="0"/>
    <w:pPr>
      <w:spacing w:before="60" w:after="60"/>
      <w:jc w:val="center"/>
    </w:pPr>
    <w:rPr>
      <w:rFonts w:eastAsia="仿宋_GB2312"/>
      <w:sz w:val="24"/>
    </w:rPr>
  </w:style>
  <w:style w:type="paragraph" w:customStyle="1" w:styleId="176">
    <w:name w:val="【标头正文】一、二"/>
    <w:basedOn w:val="99"/>
    <w:qFormat/>
    <w:uiPriority w:val="0"/>
    <w:pPr>
      <w:adjustRightInd w:val="0"/>
      <w:snapToGrid w:val="0"/>
      <w:spacing w:line="500" w:lineRule="exact"/>
    </w:pPr>
    <w:rPr>
      <w:rFonts w:eastAsia="仿宋" w:cs="Times New Roman"/>
      <w:b/>
      <w:bCs/>
      <w:color w:val="auto"/>
      <w:sz w:val="24"/>
    </w:rPr>
  </w:style>
  <w:style w:type="paragraph" w:customStyle="1" w:styleId="177">
    <w:name w:val="【华瑞正文】"/>
    <w:basedOn w:val="1"/>
    <w:qFormat/>
    <w:uiPriority w:val="0"/>
    <w:pPr>
      <w:spacing w:line="520" w:lineRule="exact"/>
      <w:ind w:firstLine="200" w:firstLineChars="200"/>
    </w:pPr>
    <w:rPr>
      <w:rFonts w:hint="default" w:ascii="宋体" w:hAnsi="宋体" w:cs="宋体"/>
      <w:sz w:val="24"/>
    </w:rPr>
  </w:style>
  <w:style w:type="paragraph" w:customStyle="1" w:styleId="178">
    <w:name w:val="君邦正文"/>
    <w:qFormat/>
    <w:uiPriority w:val="0"/>
    <w:pPr>
      <w:spacing w:after="60" w:line="360" w:lineRule="auto"/>
      <w:ind w:firstLine="480" w:firstLineChars="200"/>
      <w:jc w:val="both"/>
    </w:pPr>
    <w:rPr>
      <w:rFonts w:ascii="Times New Roman" w:hAnsi="Times New Roman" w:eastAsia="Times New Roman" w:cs="Times New Roman"/>
      <w:bCs/>
      <w:snapToGrid w:val="0"/>
      <w:sz w:val="24"/>
      <w:lang w:val="en-US" w:eastAsia="zh-CN" w:bidi="ar-SA"/>
    </w:rPr>
  </w:style>
  <w:style w:type="paragraph" w:customStyle="1" w:styleId="179">
    <w:name w:val="通用正文"/>
    <w:basedOn w:val="180"/>
    <w:qFormat/>
    <w:uiPriority w:val="0"/>
    <w:pPr>
      <w:wordWrap w:val="0"/>
      <w:topLinePunct/>
      <w:spacing w:line="360" w:lineRule="auto"/>
      <w:ind w:firstLine="420" w:firstLineChars="200"/>
      <w:jc w:val="left"/>
    </w:pPr>
    <w:rPr>
      <w:color w:val="000000"/>
      <w:sz w:val="24"/>
    </w:rPr>
  </w:style>
  <w:style w:type="paragraph" w:customStyle="1" w:styleId="180">
    <w:name w:val="00通用正文"/>
    <w:basedOn w:val="1"/>
    <w:qFormat/>
    <w:uiPriority w:val="0"/>
    <w:pPr>
      <w:widowControl w:val="0"/>
      <w:wordWrap w:val="0"/>
      <w:spacing w:after="0" w:line="360" w:lineRule="auto"/>
      <w:ind w:firstLine="420" w:firstLineChars="200"/>
      <w:jc w:val="left"/>
    </w:pPr>
    <w:rPr>
      <w:rFonts w:ascii="Times New Roman" w:hAnsi="Times New Roman" w:eastAsia="宋体" w:cs="Times New Roman"/>
      <w:color w:val="000000"/>
      <w:kern w:val="2"/>
      <w:sz w:val="24"/>
      <w:szCs w:val="24"/>
      <w:lang w:val="en-US" w:bidi="ar-SA"/>
    </w:rPr>
  </w:style>
  <w:style w:type="paragraph" w:customStyle="1" w:styleId="181">
    <w:name w:val="表格标题"/>
    <w:basedOn w:val="1"/>
    <w:qFormat/>
    <w:uiPriority w:val="0"/>
    <w:pPr>
      <w:spacing w:line="440" w:lineRule="exact"/>
      <w:ind w:firstLine="1440"/>
    </w:pPr>
    <w:rPr>
      <w:b/>
      <w:kern w:val="0"/>
      <w:sz w:val="20"/>
      <w:szCs w:val="20"/>
    </w:rPr>
  </w:style>
  <w:style w:type="paragraph" w:customStyle="1" w:styleId="182">
    <w:name w:val="表格题头"/>
    <w:basedOn w:val="1"/>
    <w:next w:val="1"/>
    <w:qFormat/>
    <w:uiPriority w:val="0"/>
    <w:pPr>
      <w:widowControl/>
      <w:autoSpaceDE w:val="0"/>
      <w:autoSpaceDN w:val="0"/>
      <w:spacing w:line="260" w:lineRule="exact"/>
      <w:ind w:firstLine="0" w:firstLineChars="0"/>
      <w:jc w:val="center"/>
    </w:pPr>
    <w:rPr>
      <w:rFonts w:ascii="Times New Roman" w:hAnsi="Times New Roman" w:eastAsia="黑体"/>
      <w:color w:val="000000"/>
      <w:sz w:val="24"/>
      <w:szCs w:val="20"/>
    </w:rPr>
  </w:style>
  <w:style w:type="paragraph" w:customStyle="1" w:styleId="183">
    <w:name w:val="环评正文"/>
    <w:basedOn w:val="1"/>
    <w:qFormat/>
    <w:uiPriority w:val="0"/>
    <w:pPr>
      <w:spacing w:line="440" w:lineRule="exact"/>
      <w:ind w:firstLine="1446" w:firstLineChars="200"/>
    </w:pPr>
    <w:rPr>
      <w:kern w:val="0"/>
      <w:sz w:val="20"/>
      <w:szCs w:val="20"/>
    </w:rPr>
  </w:style>
  <w:style w:type="paragraph" w:customStyle="1" w:styleId="184">
    <w:name w:val="表内文字"/>
    <w:basedOn w:val="1"/>
    <w:qFormat/>
    <w:uiPriority w:val="0"/>
    <w:pPr>
      <w:jc w:val="center"/>
    </w:pPr>
    <w:rPr>
      <w:rFonts w:ascii="仿宋_GB2312" w:hAnsi="仿宋_GB2312"/>
      <w:color w:val="FF0000"/>
      <w:szCs w:val="21"/>
    </w:rPr>
  </w:style>
  <w:style w:type="paragraph" w:customStyle="1" w:styleId="185">
    <w:name w:val="表中字"/>
    <w:qFormat/>
    <w:uiPriority w:val="0"/>
    <w:pPr>
      <w:jc w:val="center"/>
    </w:pPr>
    <w:rPr>
      <w:rFonts w:ascii="Times New Roman" w:hAnsi="Times New Roman" w:eastAsia="宋体" w:cs="Times New Roman"/>
      <w:kern w:val="2"/>
      <w:sz w:val="21"/>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6.jpeg"/><Relationship Id="rId53" Type="http://schemas.openxmlformats.org/officeDocument/2006/relationships/image" Target="media/image35.jpeg"/><Relationship Id="rId52" Type="http://schemas.openxmlformats.org/officeDocument/2006/relationships/image" Target="media/image34.jpeg"/><Relationship Id="rId51" Type="http://schemas.openxmlformats.org/officeDocument/2006/relationships/image" Target="media/image33.jpeg"/><Relationship Id="rId50" Type="http://schemas.openxmlformats.org/officeDocument/2006/relationships/image" Target="media/image32.jpeg"/><Relationship Id="rId5" Type="http://schemas.openxmlformats.org/officeDocument/2006/relationships/footer" Target="footer3.xml"/><Relationship Id="rId49" Type="http://schemas.openxmlformats.org/officeDocument/2006/relationships/image" Target="media/image31.jpeg"/><Relationship Id="rId48" Type="http://schemas.openxmlformats.org/officeDocument/2006/relationships/image" Target="media/image30.jpeg"/><Relationship Id="rId47" Type="http://schemas.openxmlformats.org/officeDocument/2006/relationships/image" Target="media/image29.jpeg"/><Relationship Id="rId46" Type="http://schemas.openxmlformats.org/officeDocument/2006/relationships/image" Target="media/image28.jpeg"/><Relationship Id="rId45" Type="http://schemas.openxmlformats.org/officeDocument/2006/relationships/image" Target="media/image27.jpe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jpeg"/><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footer" Target="footer2.xml"/><Relationship Id="rId39" Type="http://schemas.openxmlformats.org/officeDocument/2006/relationships/image" Target="media/image21.jpeg"/><Relationship Id="rId38" Type="http://schemas.openxmlformats.org/officeDocument/2006/relationships/image" Target="media/image20.pn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pn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1.wmf"/><Relationship Id="rId27" Type="http://schemas.openxmlformats.org/officeDocument/2006/relationships/oleObject" Target="embeddings/oleObject4.bin"/><Relationship Id="rId26" Type="http://schemas.openxmlformats.org/officeDocument/2006/relationships/image" Target="media/image10.wmf"/><Relationship Id="rId25" Type="http://schemas.openxmlformats.org/officeDocument/2006/relationships/oleObject" Target="embeddings/oleObject3.bin"/><Relationship Id="rId24" Type="http://schemas.openxmlformats.org/officeDocument/2006/relationships/image" Target="media/image9.wmf"/><Relationship Id="rId23" Type="http://schemas.openxmlformats.org/officeDocument/2006/relationships/oleObject" Target="embeddings/oleObject2.bin"/><Relationship Id="rId22" Type="http://schemas.openxmlformats.org/officeDocument/2006/relationships/image" Target="media/image8.wmf"/><Relationship Id="rId21" Type="http://schemas.openxmlformats.org/officeDocument/2006/relationships/oleObject" Target="embeddings/oleObject1.bin"/><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830F80-CE4B-4557-A706-FC1DD2C22899}">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71</Pages>
  <Words>15177</Words>
  <Characters>16441</Characters>
  <Lines>65</Lines>
  <Paragraphs>70</Paragraphs>
  <TotalTime>0</TotalTime>
  <ScaleCrop>false</ScaleCrop>
  <LinksUpToDate>false</LinksUpToDate>
  <CharactersWithSpaces>16582</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2021-04-22T14:13:00Z</dcterms:created>
  <dc:creator>lhj</dc:creator>
  <cp:lastModifiedBy>啡杯</cp:lastModifiedBy>
  <cp:lastPrinted>2025-05-20T07:34:00Z</cp:lastPrinted>
  <dcterms:modified xsi:type="dcterms:W3CDTF">2025-11-04T11:40:45Z</dcterms:modified>
  <dc:title>附件2</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F40183E3436D471992737CED07C54CF7_13</vt:lpwstr>
  </property>
  <property fmtid="{D5CDD505-2E9C-101B-9397-08002B2CF9AE}" pid="4" name="KSOTemplateDocerSaveRecord">
    <vt:lpwstr>eyJoZGlkIjoiZTU0OGZmZjc2MjhmZGY1Mjc2NTA1NzlhZDI5ODgwNzgiLCJ1c2VySWQiOiIzNTc0NTM4NzEifQ==</vt:lpwstr>
  </property>
</Properties>
</file>